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0" w:type="dxa"/>
        <w:tblLayout w:type="fixed"/>
        <w:tblCellMar>
          <w:left w:w="0" w:type="dxa"/>
        </w:tblCellMar>
        <w:tblLook w:val="04A0" w:firstRow="1" w:lastRow="0" w:firstColumn="1" w:lastColumn="0" w:noHBand="0" w:noVBand="1"/>
      </w:tblPr>
      <w:tblGrid>
        <w:gridCol w:w="5667"/>
        <w:gridCol w:w="4533"/>
      </w:tblGrid>
      <w:tr w:rsidR="008C7EF4" w:rsidRPr="00AD4105" w14:paraId="1F34A4F2" w14:textId="77777777" w:rsidTr="006E2E7D">
        <w:trPr>
          <w:trHeight w:hRule="exact" w:val="1711"/>
        </w:trPr>
        <w:tc>
          <w:tcPr>
            <w:tcW w:w="5667" w:type="dxa"/>
          </w:tcPr>
          <w:p w14:paraId="7DC7BC39" w14:textId="39D140D8" w:rsidR="00DF085E" w:rsidRPr="00AD4105" w:rsidRDefault="00DF085E" w:rsidP="00CB5D3E">
            <w:pPr>
              <w:rPr>
                <w:rFonts w:ascii="Tahoma" w:hAnsi="Tahoma" w:cs="Tahoma"/>
                <w:sz w:val="22"/>
                <w:szCs w:val="22"/>
              </w:rPr>
            </w:pPr>
          </w:p>
        </w:tc>
        <w:tc>
          <w:tcPr>
            <w:tcW w:w="4533" w:type="dxa"/>
          </w:tcPr>
          <w:p w14:paraId="728CD0D6" w14:textId="77777777" w:rsidR="008C7EF4" w:rsidRPr="00AD4105" w:rsidRDefault="008C7EF4" w:rsidP="008C7EF4">
            <w:pPr>
              <w:tabs>
                <w:tab w:val="left" w:pos="851"/>
              </w:tabs>
              <w:jc w:val="both"/>
              <w:rPr>
                <w:rFonts w:ascii="Tahoma" w:hAnsi="Tahoma" w:cs="Tahoma"/>
                <w:b/>
                <w:sz w:val="22"/>
                <w:szCs w:val="22"/>
              </w:rPr>
            </w:pPr>
          </w:p>
        </w:tc>
      </w:tr>
      <w:tr w:rsidR="00354779" w:rsidRPr="008C7EF4" w14:paraId="63AAAEB9" w14:textId="77777777" w:rsidTr="00354779">
        <w:trPr>
          <w:trHeight w:hRule="exact" w:val="2324"/>
        </w:trPr>
        <w:tc>
          <w:tcPr>
            <w:tcW w:w="5667" w:type="dxa"/>
          </w:tcPr>
          <w:p w14:paraId="09EEB0D6" w14:textId="77777777" w:rsidR="00354779" w:rsidRPr="00AD4105" w:rsidRDefault="00354779">
            <w:pPr>
              <w:rPr>
                <w:rFonts w:ascii="Tahoma" w:hAnsi="Tahoma" w:cs="Tahoma"/>
                <w:sz w:val="22"/>
                <w:szCs w:val="22"/>
              </w:rPr>
            </w:pPr>
          </w:p>
        </w:tc>
        <w:tc>
          <w:tcPr>
            <w:tcW w:w="4533" w:type="dxa"/>
          </w:tcPr>
          <w:p w14:paraId="2502B2E6" w14:textId="77777777" w:rsidR="00354779" w:rsidRPr="008C7EF4" w:rsidRDefault="00354779">
            <w:pPr>
              <w:tabs>
                <w:tab w:val="left" w:pos="851"/>
              </w:tabs>
              <w:rPr>
                <w:rFonts w:ascii="Tahoma" w:hAnsi="Tahoma" w:cs="Tahoma"/>
                <w:b/>
                <w:sz w:val="22"/>
                <w:szCs w:val="22"/>
              </w:rPr>
            </w:pPr>
            <w:r w:rsidRPr="008C7EF4">
              <w:rPr>
                <w:rFonts w:ascii="Tahoma" w:hAnsi="Tahoma" w:cs="Tahoma"/>
                <w:b/>
                <w:sz w:val="22"/>
                <w:szCs w:val="22"/>
              </w:rPr>
              <w:t>Ombudsstelle SRG.D</w:t>
            </w:r>
          </w:p>
          <w:p w14:paraId="7395DB06" w14:textId="77777777" w:rsidR="00354779" w:rsidRPr="008C7EF4" w:rsidRDefault="00354779">
            <w:pPr>
              <w:tabs>
                <w:tab w:val="left" w:pos="851"/>
              </w:tabs>
              <w:rPr>
                <w:rFonts w:ascii="Tahoma" w:hAnsi="Tahoma" w:cs="Tahoma"/>
                <w:sz w:val="22"/>
                <w:szCs w:val="22"/>
              </w:rPr>
            </w:pPr>
            <w:r w:rsidRPr="008C7EF4">
              <w:rPr>
                <w:rFonts w:ascii="Tahoma" w:hAnsi="Tahoma" w:cs="Tahoma"/>
                <w:sz w:val="22"/>
                <w:szCs w:val="22"/>
              </w:rPr>
              <w:t>Dr. Esther Girsberger, Co-Leitung</w:t>
            </w:r>
          </w:p>
          <w:p w14:paraId="57005B3B" w14:textId="5B3ABA04" w:rsidR="00354779" w:rsidRPr="008C7EF4" w:rsidRDefault="00ED454F">
            <w:pPr>
              <w:tabs>
                <w:tab w:val="left" w:pos="851"/>
              </w:tabs>
              <w:rPr>
                <w:rFonts w:ascii="Tahoma" w:hAnsi="Tahoma" w:cs="Tahoma"/>
                <w:sz w:val="22"/>
                <w:szCs w:val="22"/>
              </w:rPr>
            </w:pPr>
            <w:r>
              <w:rPr>
                <w:rFonts w:ascii="Tahoma" w:hAnsi="Tahoma" w:cs="Tahoma"/>
                <w:sz w:val="22"/>
                <w:szCs w:val="22"/>
              </w:rPr>
              <w:t>Dr. Urs Hofmann</w:t>
            </w:r>
            <w:r w:rsidR="00354779" w:rsidRPr="008C7EF4">
              <w:rPr>
                <w:rFonts w:ascii="Tahoma" w:hAnsi="Tahoma" w:cs="Tahoma"/>
                <w:sz w:val="22"/>
                <w:szCs w:val="22"/>
              </w:rPr>
              <w:t>, Co-Leitung</w:t>
            </w:r>
          </w:p>
          <w:p w14:paraId="43B8CF8F" w14:textId="77777777" w:rsidR="00354779" w:rsidRPr="008C7EF4" w:rsidRDefault="00354779">
            <w:pPr>
              <w:tabs>
                <w:tab w:val="left" w:pos="851"/>
              </w:tabs>
              <w:rPr>
                <w:rFonts w:ascii="Tahoma" w:hAnsi="Tahoma" w:cs="Tahoma"/>
                <w:sz w:val="22"/>
                <w:szCs w:val="22"/>
              </w:rPr>
            </w:pPr>
            <w:r w:rsidRPr="008C7EF4">
              <w:rPr>
                <w:rFonts w:ascii="Tahoma" w:hAnsi="Tahoma" w:cs="Tahoma"/>
                <w:sz w:val="22"/>
                <w:szCs w:val="22"/>
              </w:rPr>
              <w:t>c/o SRG Deutschschweiz</w:t>
            </w:r>
          </w:p>
          <w:p w14:paraId="23FF74B9" w14:textId="77777777" w:rsidR="00354779" w:rsidRPr="008C7EF4" w:rsidRDefault="00354779">
            <w:pPr>
              <w:tabs>
                <w:tab w:val="left" w:pos="851"/>
              </w:tabs>
              <w:rPr>
                <w:rFonts w:ascii="Tahoma" w:hAnsi="Tahoma" w:cs="Tahoma"/>
                <w:sz w:val="22"/>
                <w:szCs w:val="22"/>
              </w:rPr>
            </w:pPr>
            <w:r w:rsidRPr="008C7EF4">
              <w:rPr>
                <w:rFonts w:ascii="Tahoma" w:hAnsi="Tahoma" w:cs="Tahoma"/>
                <w:sz w:val="22"/>
                <w:szCs w:val="22"/>
              </w:rPr>
              <w:t>Fernsehstrasse 1-4</w:t>
            </w:r>
          </w:p>
          <w:p w14:paraId="1A2D9388" w14:textId="77777777" w:rsidR="00354779" w:rsidRPr="008C7EF4" w:rsidRDefault="00354779">
            <w:pPr>
              <w:tabs>
                <w:tab w:val="left" w:pos="851"/>
              </w:tabs>
              <w:spacing w:after="120"/>
              <w:rPr>
                <w:rFonts w:ascii="Tahoma" w:hAnsi="Tahoma" w:cs="Tahoma"/>
                <w:sz w:val="22"/>
                <w:szCs w:val="22"/>
              </w:rPr>
            </w:pPr>
            <w:r w:rsidRPr="008C7EF4">
              <w:rPr>
                <w:rFonts w:ascii="Tahoma" w:hAnsi="Tahoma" w:cs="Tahoma"/>
                <w:sz w:val="22"/>
                <w:szCs w:val="22"/>
              </w:rPr>
              <w:t>8052 Zürich</w:t>
            </w:r>
          </w:p>
          <w:p w14:paraId="61819654" w14:textId="77777777" w:rsidR="00354779" w:rsidRPr="008C7EF4" w:rsidRDefault="00354779">
            <w:pPr>
              <w:tabs>
                <w:tab w:val="left" w:pos="851"/>
              </w:tabs>
              <w:rPr>
                <w:rStyle w:val="Hyperlink"/>
                <w:rFonts w:ascii="Tahoma" w:hAnsi="Tahoma" w:cs="Tahoma"/>
                <w:sz w:val="22"/>
                <w:szCs w:val="22"/>
              </w:rPr>
            </w:pPr>
            <w:r w:rsidRPr="008C7EF4">
              <w:rPr>
                <w:rFonts w:ascii="Tahoma" w:hAnsi="Tahoma" w:cs="Tahoma"/>
                <w:sz w:val="22"/>
                <w:szCs w:val="22"/>
              </w:rPr>
              <w:t xml:space="preserve">E-Mail: </w:t>
            </w:r>
            <w:hyperlink r:id="rId10" w:history="1">
              <w:r w:rsidRPr="008C7EF4">
                <w:rPr>
                  <w:rStyle w:val="Hyperlink"/>
                  <w:rFonts w:ascii="Tahoma" w:hAnsi="Tahoma" w:cs="Tahoma"/>
                  <w:sz w:val="22"/>
                  <w:szCs w:val="22"/>
                </w:rPr>
                <w:t>leitung@ombudsstellesrgd.ch</w:t>
              </w:r>
            </w:hyperlink>
          </w:p>
          <w:p w14:paraId="4371111F" w14:textId="77777777" w:rsidR="00354779" w:rsidRPr="008C7EF4" w:rsidRDefault="00354779">
            <w:pPr>
              <w:tabs>
                <w:tab w:val="left" w:pos="851"/>
              </w:tabs>
              <w:rPr>
                <w:rFonts w:ascii="Tahoma" w:hAnsi="Tahoma" w:cs="Tahoma"/>
                <w:sz w:val="22"/>
                <w:szCs w:val="22"/>
              </w:rPr>
            </w:pPr>
          </w:p>
        </w:tc>
      </w:tr>
    </w:tbl>
    <w:p w14:paraId="25FDCE98" w14:textId="77777777" w:rsidR="00354779" w:rsidRPr="008C7EF4" w:rsidRDefault="00354779" w:rsidP="00354779">
      <w:pPr>
        <w:tabs>
          <w:tab w:val="left" w:pos="5670"/>
        </w:tabs>
        <w:ind w:right="-2"/>
        <w:rPr>
          <w:rFonts w:ascii="Tahoma" w:hAnsi="Tahoma" w:cs="Tahoma"/>
          <w:sz w:val="22"/>
          <w:szCs w:val="22"/>
        </w:rPr>
      </w:pPr>
    </w:p>
    <w:p w14:paraId="14EB5977" w14:textId="6C6CA962" w:rsidR="00354779" w:rsidRPr="008C7EF4" w:rsidRDefault="00354779" w:rsidP="00354779">
      <w:pPr>
        <w:tabs>
          <w:tab w:val="left" w:pos="5670"/>
        </w:tabs>
        <w:ind w:right="-2"/>
        <w:rPr>
          <w:rFonts w:ascii="Tahoma" w:hAnsi="Tahoma" w:cs="Tahoma"/>
          <w:sz w:val="22"/>
          <w:szCs w:val="22"/>
        </w:rPr>
      </w:pPr>
      <w:r w:rsidRPr="008C7EF4">
        <w:rPr>
          <w:rFonts w:ascii="Tahoma" w:hAnsi="Tahoma" w:cs="Tahoma"/>
          <w:sz w:val="22"/>
          <w:szCs w:val="22"/>
        </w:rPr>
        <w:tab/>
        <w:t xml:space="preserve">Zürich, </w:t>
      </w:r>
      <w:r w:rsidR="00B30312">
        <w:rPr>
          <w:rFonts w:ascii="Tahoma" w:hAnsi="Tahoma" w:cs="Tahoma"/>
          <w:sz w:val="22"/>
          <w:szCs w:val="22"/>
        </w:rPr>
        <w:t>25. August 2025</w:t>
      </w:r>
    </w:p>
    <w:p w14:paraId="23D3DF35" w14:textId="77777777" w:rsidR="00354779" w:rsidRDefault="00354779" w:rsidP="00354779">
      <w:pPr>
        <w:ind w:right="-2"/>
        <w:rPr>
          <w:rFonts w:ascii="Tahoma" w:hAnsi="Tahoma" w:cs="Tahoma"/>
          <w:sz w:val="22"/>
          <w:szCs w:val="22"/>
        </w:rPr>
      </w:pPr>
    </w:p>
    <w:p w14:paraId="47378ADF" w14:textId="77777777" w:rsidR="00DB71DF" w:rsidRPr="008C7EF4" w:rsidRDefault="00DB71DF" w:rsidP="00354779">
      <w:pPr>
        <w:ind w:right="-2"/>
        <w:rPr>
          <w:rFonts w:ascii="Tahoma" w:hAnsi="Tahoma" w:cs="Tahoma"/>
          <w:sz w:val="22"/>
          <w:szCs w:val="22"/>
        </w:rPr>
      </w:pPr>
    </w:p>
    <w:p w14:paraId="1226B7D8" w14:textId="77777777" w:rsidR="00354779" w:rsidRDefault="00354779" w:rsidP="00354779">
      <w:pPr>
        <w:ind w:right="-2"/>
        <w:rPr>
          <w:rFonts w:ascii="Tahoma" w:hAnsi="Tahoma" w:cs="Tahoma"/>
          <w:sz w:val="22"/>
          <w:szCs w:val="22"/>
        </w:rPr>
      </w:pPr>
    </w:p>
    <w:p w14:paraId="2DFE3AFD" w14:textId="5E7CCD4D" w:rsidR="00DB71DF" w:rsidRPr="00ED18F9" w:rsidRDefault="00DB71DF" w:rsidP="5C991799">
      <w:pPr>
        <w:spacing w:line="240" w:lineRule="auto"/>
        <w:rPr>
          <w:rFonts w:ascii="Tahoma" w:hAnsi="Tahoma" w:cs="Tahoma"/>
          <w:b/>
          <w:bCs/>
          <w:sz w:val="24"/>
          <w:szCs w:val="24"/>
        </w:rPr>
      </w:pPr>
      <w:r w:rsidRPr="5C991799">
        <w:rPr>
          <w:rFonts w:ascii="Tahoma" w:hAnsi="Tahoma" w:cs="Tahoma"/>
          <w:b/>
          <w:bCs/>
          <w:sz w:val="24"/>
          <w:szCs w:val="24"/>
        </w:rPr>
        <w:t>Dossier Nr</w:t>
      </w:r>
      <w:r w:rsidR="009B7BCD" w:rsidRPr="5C991799">
        <w:rPr>
          <w:rFonts w:ascii="Tahoma" w:hAnsi="Tahoma" w:cs="Tahoma"/>
          <w:b/>
          <w:bCs/>
          <w:sz w:val="24"/>
          <w:szCs w:val="24"/>
        </w:rPr>
        <w:t>.</w:t>
      </w:r>
      <w:r w:rsidRPr="5C991799">
        <w:rPr>
          <w:rFonts w:ascii="Tahoma" w:hAnsi="Tahoma" w:cs="Tahoma"/>
          <w:b/>
          <w:bCs/>
          <w:sz w:val="24"/>
          <w:szCs w:val="24"/>
        </w:rPr>
        <w:t xml:space="preserve"> </w:t>
      </w:r>
      <w:r w:rsidR="00395C4A">
        <w:rPr>
          <w:rFonts w:ascii="Tahoma" w:hAnsi="Tahoma" w:cs="Tahoma"/>
          <w:b/>
          <w:bCs/>
          <w:sz w:val="24"/>
          <w:szCs w:val="24"/>
        </w:rPr>
        <w:t>11</w:t>
      </w:r>
      <w:r w:rsidR="004A75B0">
        <w:rPr>
          <w:rFonts w:ascii="Tahoma" w:hAnsi="Tahoma" w:cs="Tahoma"/>
          <w:b/>
          <w:bCs/>
          <w:sz w:val="24"/>
          <w:szCs w:val="24"/>
        </w:rPr>
        <w:t>6</w:t>
      </w:r>
      <w:r w:rsidR="00AD4105">
        <w:rPr>
          <w:rFonts w:ascii="Tahoma" w:hAnsi="Tahoma" w:cs="Tahoma"/>
          <w:b/>
          <w:bCs/>
          <w:sz w:val="24"/>
          <w:szCs w:val="24"/>
        </w:rPr>
        <w:t>3</w:t>
      </w:r>
      <w:r w:rsidR="008907E4">
        <w:rPr>
          <w:rFonts w:ascii="Tahoma" w:hAnsi="Tahoma" w:cs="Tahoma"/>
          <w:b/>
          <w:bCs/>
          <w:sz w:val="24"/>
          <w:szCs w:val="24"/>
        </w:rPr>
        <w:t>7</w:t>
      </w:r>
      <w:r w:rsidR="00575696">
        <w:rPr>
          <w:rFonts w:ascii="Tahoma" w:hAnsi="Tahoma" w:cs="Tahoma"/>
          <w:b/>
          <w:bCs/>
          <w:sz w:val="24"/>
          <w:szCs w:val="24"/>
        </w:rPr>
        <w:t xml:space="preserve">; </w:t>
      </w:r>
      <w:r w:rsidR="00CB5D3E">
        <w:rPr>
          <w:rFonts w:ascii="Tahoma" w:hAnsi="Tahoma" w:cs="Tahoma"/>
          <w:b/>
          <w:bCs/>
          <w:sz w:val="24"/>
          <w:szCs w:val="24"/>
        </w:rPr>
        <w:t xml:space="preserve">11638; </w:t>
      </w:r>
      <w:r w:rsidR="00575696">
        <w:rPr>
          <w:rFonts w:ascii="Tahoma" w:hAnsi="Tahoma" w:cs="Tahoma"/>
          <w:b/>
          <w:bCs/>
          <w:sz w:val="24"/>
          <w:szCs w:val="24"/>
        </w:rPr>
        <w:t>11651</w:t>
      </w:r>
      <w:r w:rsidR="005D5DD3">
        <w:rPr>
          <w:rFonts w:ascii="Tahoma" w:hAnsi="Tahoma" w:cs="Tahoma"/>
          <w:b/>
          <w:bCs/>
          <w:sz w:val="24"/>
          <w:szCs w:val="24"/>
        </w:rPr>
        <w:t>; 11655</w:t>
      </w:r>
      <w:r w:rsidRPr="5C991799">
        <w:rPr>
          <w:rFonts w:ascii="Tahoma" w:hAnsi="Tahoma" w:cs="Tahoma"/>
          <w:b/>
          <w:bCs/>
          <w:sz w:val="24"/>
          <w:szCs w:val="24"/>
        </w:rPr>
        <w:t>,</w:t>
      </w:r>
      <w:bookmarkStart w:id="0" w:name="_Hlk87518606"/>
      <w:r w:rsidR="006F040C" w:rsidRPr="5C991799">
        <w:rPr>
          <w:rFonts w:ascii="Tahoma" w:hAnsi="Tahoma" w:cs="Tahoma"/>
          <w:b/>
          <w:bCs/>
          <w:sz w:val="24"/>
          <w:szCs w:val="24"/>
        </w:rPr>
        <w:t xml:space="preserve"> </w:t>
      </w:r>
      <w:bookmarkEnd w:id="0"/>
      <w:r w:rsidR="00884F7E">
        <w:rPr>
          <w:rFonts w:ascii="Tahoma" w:hAnsi="Tahoma" w:cs="Tahoma"/>
          <w:b/>
          <w:bCs/>
          <w:sz w:val="24"/>
          <w:szCs w:val="24"/>
        </w:rPr>
        <w:t>«</w:t>
      </w:r>
      <w:r w:rsidR="008907E4">
        <w:rPr>
          <w:rFonts w:ascii="Tahoma" w:hAnsi="Tahoma" w:cs="Tahoma"/>
          <w:b/>
          <w:bCs/>
          <w:sz w:val="24"/>
          <w:szCs w:val="24"/>
        </w:rPr>
        <w:t>10vor10</w:t>
      </w:r>
      <w:r w:rsidR="00884F7E">
        <w:rPr>
          <w:rFonts w:ascii="Tahoma" w:hAnsi="Tahoma" w:cs="Tahoma"/>
          <w:b/>
          <w:bCs/>
          <w:sz w:val="24"/>
          <w:szCs w:val="24"/>
        </w:rPr>
        <w:t>» vom</w:t>
      </w:r>
      <w:r w:rsidR="00EC46C2" w:rsidRPr="5C991799">
        <w:rPr>
          <w:rFonts w:ascii="Tahoma" w:hAnsi="Tahoma" w:cs="Tahoma"/>
          <w:b/>
          <w:bCs/>
          <w:sz w:val="24"/>
          <w:szCs w:val="24"/>
        </w:rPr>
        <w:t xml:space="preserve"> </w:t>
      </w:r>
      <w:r w:rsidR="00AD4105">
        <w:rPr>
          <w:rFonts w:ascii="Tahoma" w:hAnsi="Tahoma" w:cs="Tahoma"/>
          <w:b/>
          <w:bCs/>
          <w:sz w:val="24"/>
          <w:szCs w:val="24"/>
        </w:rPr>
        <w:t>2</w:t>
      </w:r>
      <w:r w:rsidR="008907E4">
        <w:rPr>
          <w:rFonts w:ascii="Tahoma" w:hAnsi="Tahoma" w:cs="Tahoma"/>
          <w:b/>
          <w:bCs/>
          <w:sz w:val="24"/>
          <w:szCs w:val="24"/>
        </w:rPr>
        <w:t>5</w:t>
      </w:r>
      <w:r w:rsidR="00C22ED5">
        <w:rPr>
          <w:rFonts w:ascii="Tahoma" w:hAnsi="Tahoma" w:cs="Tahoma"/>
          <w:b/>
          <w:bCs/>
          <w:sz w:val="24"/>
          <w:szCs w:val="24"/>
        </w:rPr>
        <w:t>. Juli</w:t>
      </w:r>
      <w:r w:rsidR="00F819B6">
        <w:rPr>
          <w:rFonts w:ascii="Tahoma" w:hAnsi="Tahoma" w:cs="Tahoma"/>
          <w:b/>
          <w:bCs/>
          <w:sz w:val="24"/>
          <w:szCs w:val="24"/>
        </w:rPr>
        <w:t xml:space="preserve"> 2025</w:t>
      </w:r>
      <w:r w:rsidR="1AF7F50E" w:rsidRPr="5C991799">
        <w:rPr>
          <w:rFonts w:ascii="Tahoma" w:hAnsi="Tahoma" w:cs="Tahoma"/>
          <w:b/>
          <w:bCs/>
          <w:sz w:val="24"/>
          <w:szCs w:val="24"/>
        </w:rPr>
        <w:t xml:space="preserve"> </w:t>
      </w:r>
      <w:r w:rsidR="008907E4">
        <w:rPr>
          <w:rFonts w:ascii="Tahoma" w:hAnsi="Tahoma" w:cs="Tahoma"/>
          <w:b/>
          <w:bCs/>
          <w:sz w:val="24"/>
          <w:szCs w:val="24"/>
        </w:rPr>
        <w:t>– «Palästina – ein heisses Eisen»</w:t>
      </w:r>
    </w:p>
    <w:p w14:paraId="0D29B48F" w14:textId="05C9A643" w:rsidR="00DB71DF" w:rsidRDefault="00DB71DF" w:rsidP="00DB71DF">
      <w:pPr>
        <w:spacing w:line="240" w:lineRule="auto"/>
        <w:rPr>
          <w:rFonts w:ascii="Tahoma" w:hAnsi="Tahoma" w:cs="Tahoma"/>
          <w:sz w:val="24"/>
          <w:szCs w:val="24"/>
        </w:rPr>
      </w:pPr>
    </w:p>
    <w:p w14:paraId="23FC0992" w14:textId="6A04AB65" w:rsidR="009B7BCD" w:rsidRPr="00B30312" w:rsidRDefault="00B30312" w:rsidP="00DB71DF">
      <w:pPr>
        <w:spacing w:line="240" w:lineRule="auto"/>
        <w:rPr>
          <w:rFonts w:ascii="Tahoma" w:hAnsi="Tahoma" w:cs="Tahoma"/>
          <w:sz w:val="22"/>
          <w:szCs w:val="22"/>
        </w:rPr>
      </w:pPr>
      <w:r w:rsidRPr="00B30312">
        <w:rPr>
          <w:rFonts w:ascii="Tahoma" w:hAnsi="Tahoma" w:cs="Tahoma"/>
          <w:sz w:val="22"/>
          <w:szCs w:val="22"/>
        </w:rPr>
        <w:t>Sehr geehrte Damen und Herren</w:t>
      </w:r>
    </w:p>
    <w:p w14:paraId="6548CC47" w14:textId="77777777" w:rsidR="00B30312" w:rsidRDefault="00B30312" w:rsidP="00DB71DF">
      <w:pPr>
        <w:spacing w:line="240" w:lineRule="auto"/>
        <w:rPr>
          <w:rFonts w:ascii="Tahoma" w:hAnsi="Tahoma" w:cs="Tahoma"/>
          <w:sz w:val="24"/>
          <w:szCs w:val="24"/>
        </w:rPr>
      </w:pPr>
    </w:p>
    <w:p w14:paraId="140091B7" w14:textId="1E233665" w:rsidR="00DB71DF" w:rsidRDefault="0076173F" w:rsidP="00DB71DF">
      <w:pPr>
        <w:rPr>
          <w:rFonts w:ascii="Tahoma" w:hAnsi="Tahoma" w:cs="Tahoma"/>
          <w:sz w:val="22"/>
          <w:szCs w:val="22"/>
        </w:rPr>
      </w:pPr>
      <w:r>
        <w:rPr>
          <w:rFonts w:ascii="Tahoma" w:hAnsi="Tahoma" w:cs="Tahoma"/>
          <w:sz w:val="22"/>
          <w:szCs w:val="22"/>
        </w:rPr>
        <w:t>Gegen obigen Be</w:t>
      </w:r>
      <w:r w:rsidR="008A19CD">
        <w:rPr>
          <w:rFonts w:ascii="Tahoma" w:hAnsi="Tahoma" w:cs="Tahoma"/>
          <w:sz w:val="22"/>
          <w:szCs w:val="22"/>
        </w:rPr>
        <w:t>itrag</w:t>
      </w:r>
      <w:r>
        <w:rPr>
          <w:rFonts w:ascii="Tahoma" w:hAnsi="Tahoma" w:cs="Tahoma"/>
          <w:sz w:val="22"/>
          <w:szCs w:val="22"/>
        </w:rPr>
        <w:t xml:space="preserve"> sind vier Beanstandungen eingegangen</w:t>
      </w:r>
      <w:bookmarkStart w:id="1" w:name="_Hlk207018790"/>
      <w:r w:rsidR="00CB5D3E">
        <w:rPr>
          <w:rFonts w:ascii="Tahoma" w:hAnsi="Tahoma" w:cs="Tahoma"/>
          <w:sz w:val="22"/>
          <w:szCs w:val="22"/>
        </w:rPr>
        <w:t xml:space="preserve">. </w:t>
      </w:r>
      <w:bookmarkEnd w:id="1"/>
      <w:r w:rsidR="008A19CD">
        <w:rPr>
          <w:rFonts w:ascii="Tahoma" w:hAnsi="Tahoma" w:cs="Tahoma"/>
          <w:sz w:val="22"/>
          <w:szCs w:val="22"/>
        </w:rPr>
        <w:t xml:space="preserve">Da sie die gleichen oder ähnliche Punkte kritisieren, hat die </w:t>
      </w:r>
      <w:r w:rsidR="00CB5D3E">
        <w:rPr>
          <w:rFonts w:ascii="Tahoma" w:hAnsi="Tahoma" w:cs="Tahoma"/>
          <w:sz w:val="22"/>
          <w:szCs w:val="22"/>
        </w:rPr>
        <w:t>Redaktion eine Stellungnahme und die Ombudsstelle einen Schlussbericht</w:t>
      </w:r>
      <w:r w:rsidR="008A19CD">
        <w:rPr>
          <w:rFonts w:ascii="Tahoma" w:hAnsi="Tahoma" w:cs="Tahoma"/>
          <w:sz w:val="22"/>
          <w:szCs w:val="22"/>
        </w:rPr>
        <w:t xml:space="preserve"> verfasst</w:t>
      </w:r>
      <w:r w:rsidR="00CB5D3E">
        <w:rPr>
          <w:rFonts w:ascii="Tahoma" w:hAnsi="Tahoma" w:cs="Tahoma"/>
          <w:sz w:val="22"/>
          <w:szCs w:val="22"/>
        </w:rPr>
        <w:t>.</w:t>
      </w:r>
    </w:p>
    <w:p w14:paraId="0BFE52B3" w14:textId="77777777" w:rsidR="008A19CD" w:rsidRDefault="008A19CD" w:rsidP="00DB71DF">
      <w:pPr>
        <w:rPr>
          <w:rFonts w:ascii="Tahoma" w:hAnsi="Tahoma" w:cs="Tahoma"/>
          <w:sz w:val="22"/>
          <w:szCs w:val="22"/>
        </w:rPr>
      </w:pPr>
    </w:p>
    <w:p w14:paraId="32E2C7AA" w14:textId="2E31F5C7" w:rsidR="008A19CD" w:rsidRPr="008A19CD" w:rsidRDefault="008A19CD" w:rsidP="00DB71DF">
      <w:pPr>
        <w:rPr>
          <w:rFonts w:ascii="Tahoma" w:hAnsi="Tahoma" w:cs="Tahoma"/>
          <w:i/>
          <w:iCs/>
          <w:sz w:val="22"/>
          <w:szCs w:val="22"/>
        </w:rPr>
      </w:pPr>
      <w:r w:rsidRPr="008A19CD">
        <w:rPr>
          <w:rFonts w:ascii="Tahoma" w:hAnsi="Tahoma" w:cs="Tahoma"/>
          <w:i/>
          <w:iCs/>
          <w:sz w:val="22"/>
          <w:szCs w:val="22"/>
        </w:rPr>
        <w:t>Der Beitrag wurde wie folgt kritisiert:</w:t>
      </w:r>
    </w:p>
    <w:p w14:paraId="74E2E30F" w14:textId="77777777" w:rsidR="00DB71DF" w:rsidRPr="00F8560C" w:rsidRDefault="00DB71DF" w:rsidP="00DB71DF">
      <w:pPr>
        <w:rPr>
          <w:rFonts w:ascii="Tahoma" w:hAnsi="Tahoma" w:cs="Tahoma"/>
          <w:sz w:val="22"/>
          <w:szCs w:val="22"/>
        </w:rPr>
      </w:pPr>
    </w:p>
    <w:p w14:paraId="112F99BD" w14:textId="52B7DF17" w:rsidR="008907E4" w:rsidRPr="008907E4" w:rsidRDefault="00884F7E" w:rsidP="008907E4">
      <w:pPr>
        <w:rPr>
          <w:rFonts w:ascii="Tahoma" w:hAnsi="Tahoma" w:cs="Tahoma"/>
          <w:i/>
          <w:iCs/>
          <w:sz w:val="22"/>
          <w:szCs w:val="22"/>
        </w:rPr>
      </w:pPr>
      <w:r w:rsidRPr="00884F7E">
        <w:rPr>
          <w:rFonts w:ascii="Tahoma" w:hAnsi="Tahoma" w:cs="Tahoma"/>
          <w:i/>
          <w:iCs/>
          <w:sz w:val="22"/>
          <w:szCs w:val="22"/>
        </w:rPr>
        <w:t>«</w:t>
      </w:r>
      <w:r w:rsidR="008907E4" w:rsidRPr="008907E4">
        <w:rPr>
          <w:rFonts w:ascii="Tahoma" w:hAnsi="Tahoma" w:cs="Tahoma"/>
          <w:i/>
          <w:iCs/>
          <w:sz w:val="22"/>
          <w:szCs w:val="22"/>
        </w:rPr>
        <w:t>Mit grossem Interesse verfolge ich Ihre Arbeit zur Gewährleistung der Qualität und</w:t>
      </w:r>
      <w:r w:rsidR="008907E4">
        <w:rPr>
          <w:rFonts w:ascii="Tahoma" w:hAnsi="Tahoma" w:cs="Tahoma"/>
          <w:i/>
          <w:iCs/>
          <w:sz w:val="22"/>
          <w:szCs w:val="22"/>
        </w:rPr>
        <w:t xml:space="preserve"> </w:t>
      </w:r>
      <w:r w:rsidR="008907E4" w:rsidRPr="008907E4">
        <w:rPr>
          <w:rFonts w:ascii="Tahoma" w:hAnsi="Tahoma" w:cs="Tahoma"/>
          <w:i/>
          <w:iCs/>
          <w:sz w:val="22"/>
          <w:szCs w:val="22"/>
        </w:rPr>
        <w:t>Fairness in den SRF-Sendungen. Umso wichtiger ist es mir, eine Beanstandung zur</w:t>
      </w:r>
      <w:r w:rsidR="008907E4">
        <w:rPr>
          <w:rFonts w:ascii="Tahoma" w:hAnsi="Tahoma" w:cs="Tahoma"/>
          <w:i/>
          <w:iCs/>
          <w:sz w:val="22"/>
          <w:szCs w:val="22"/>
        </w:rPr>
        <w:t xml:space="preserve"> </w:t>
      </w:r>
      <w:r w:rsidR="008907E4" w:rsidRPr="008907E4">
        <w:rPr>
          <w:rFonts w:ascii="Tahoma" w:hAnsi="Tahoma" w:cs="Tahoma"/>
          <w:i/>
          <w:iCs/>
          <w:sz w:val="22"/>
          <w:szCs w:val="22"/>
        </w:rPr>
        <w:t>Ausgabe von „10 vor 10“ vom 25. Juli 2025 einzureichen, in der es um die angekündigte</w:t>
      </w:r>
    </w:p>
    <w:p w14:paraId="6A29948A" w14:textId="77777777" w:rsidR="008907E4" w:rsidRPr="008907E4" w:rsidRDefault="008907E4" w:rsidP="008907E4">
      <w:pPr>
        <w:rPr>
          <w:rFonts w:ascii="Tahoma" w:hAnsi="Tahoma" w:cs="Tahoma"/>
          <w:i/>
          <w:iCs/>
          <w:sz w:val="22"/>
          <w:szCs w:val="22"/>
        </w:rPr>
      </w:pPr>
      <w:r w:rsidRPr="008907E4">
        <w:rPr>
          <w:rFonts w:ascii="Tahoma" w:hAnsi="Tahoma" w:cs="Tahoma"/>
          <w:i/>
          <w:iCs/>
          <w:sz w:val="22"/>
          <w:szCs w:val="22"/>
        </w:rPr>
        <w:t>Anerkennung Palästinas durch Frankreich ging.</w:t>
      </w:r>
    </w:p>
    <w:p w14:paraId="58346AC4" w14:textId="77777777" w:rsidR="008907E4" w:rsidRPr="008907E4" w:rsidRDefault="008907E4" w:rsidP="008907E4">
      <w:pPr>
        <w:rPr>
          <w:rFonts w:ascii="Tahoma" w:hAnsi="Tahoma" w:cs="Tahoma"/>
          <w:i/>
          <w:iCs/>
          <w:sz w:val="22"/>
          <w:szCs w:val="22"/>
        </w:rPr>
      </w:pPr>
      <w:r w:rsidRPr="008907E4">
        <w:rPr>
          <w:rFonts w:ascii="Tahoma" w:hAnsi="Tahoma" w:cs="Tahoma"/>
          <w:i/>
          <w:iCs/>
          <w:sz w:val="22"/>
          <w:szCs w:val="22"/>
        </w:rPr>
        <w:t>Der Beitrag weist meiner Meinung nach mehrere gravierende Mängel auf, die gegen das</w:t>
      </w:r>
    </w:p>
    <w:p w14:paraId="6DF0CBF9" w14:textId="77777777" w:rsidR="008907E4" w:rsidRPr="008907E4" w:rsidRDefault="008907E4" w:rsidP="008907E4">
      <w:pPr>
        <w:rPr>
          <w:rFonts w:ascii="Tahoma" w:hAnsi="Tahoma" w:cs="Tahoma"/>
          <w:i/>
          <w:iCs/>
          <w:sz w:val="22"/>
          <w:szCs w:val="22"/>
        </w:rPr>
      </w:pPr>
      <w:r w:rsidRPr="008907E4">
        <w:rPr>
          <w:rFonts w:ascii="Tahoma" w:hAnsi="Tahoma" w:cs="Tahoma"/>
          <w:i/>
          <w:iCs/>
          <w:sz w:val="22"/>
          <w:szCs w:val="22"/>
        </w:rPr>
        <w:t>Sachgerechtigkeitsgebot (Art. 4 RTVG) verstossen. Insbesondere wurden zentrale</w:t>
      </w:r>
    </w:p>
    <w:p w14:paraId="49CE0971" w14:textId="77777777" w:rsidR="008907E4" w:rsidRPr="008907E4" w:rsidRDefault="008907E4" w:rsidP="008907E4">
      <w:pPr>
        <w:rPr>
          <w:rFonts w:ascii="Tahoma" w:hAnsi="Tahoma" w:cs="Tahoma"/>
          <w:i/>
          <w:iCs/>
          <w:sz w:val="22"/>
          <w:szCs w:val="22"/>
        </w:rPr>
      </w:pPr>
      <w:r w:rsidRPr="008907E4">
        <w:rPr>
          <w:rFonts w:ascii="Tahoma" w:hAnsi="Tahoma" w:cs="Tahoma"/>
          <w:i/>
          <w:iCs/>
          <w:sz w:val="22"/>
          <w:szCs w:val="22"/>
        </w:rPr>
        <w:t>historische und völkerrechtliche Aspekte ausgelassen oder verkürzt dargestellt, was eine</w:t>
      </w:r>
    </w:p>
    <w:p w14:paraId="004D02CE" w14:textId="77777777" w:rsidR="008907E4" w:rsidRDefault="008907E4" w:rsidP="008907E4">
      <w:pPr>
        <w:rPr>
          <w:rFonts w:ascii="Tahoma" w:hAnsi="Tahoma" w:cs="Tahoma"/>
          <w:i/>
          <w:iCs/>
          <w:sz w:val="22"/>
          <w:szCs w:val="22"/>
        </w:rPr>
      </w:pPr>
      <w:r w:rsidRPr="008907E4">
        <w:rPr>
          <w:rFonts w:ascii="Tahoma" w:hAnsi="Tahoma" w:cs="Tahoma"/>
          <w:i/>
          <w:iCs/>
          <w:sz w:val="22"/>
          <w:szCs w:val="22"/>
        </w:rPr>
        <w:t>einseitige und tendenziöse Berichterstattung zur Folge hat.</w:t>
      </w:r>
    </w:p>
    <w:p w14:paraId="19A8CB59" w14:textId="77777777" w:rsidR="008A19CD" w:rsidRPr="008907E4" w:rsidRDefault="008A19CD" w:rsidP="008907E4">
      <w:pPr>
        <w:rPr>
          <w:rFonts w:ascii="Tahoma" w:hAnsi="Tahoma" w:cs="Tahoma"/>
          <w:i/>
          <w:iCs/>
          <w:sz w:val="22"/>
          <w:szCs w:val="22"/>
        </w:rPr>
      </w:pPr>
    </w:p>
    <w:p w14:paraId="257148A4" w14:textId="77777777" w:rsidR="008907E4" w:rsidRPr="008907E4" w:rsidRDefault="008907E4" w:rsidP="008907E4">
      <w:pPr>
        <w:rPr>
          <w:rFonts w:ascii="Tahoma" w:hAnsi="Tahoma" w:cs="Tahoma"/>
          <w:b/>
          <w:bCs/>
          <w:i/>
          <w:iCs/>
          <w:sz w:val="22"/>
          <w:szCs w:val="22"/>
        </w:rPr>
      </w:pPr>
      <w:r w:rsidRPr="008907E4">
        <w:rPr>
          <w:rFonts w:ascii="Tahoma" w:hAnsi="Tahoma" w:cs="Tahoma"/>
          <w:b/>
          <w:bCs/>
          <w:i/>
          <w:iCs/>
          <w:sz w:val="22"/>
          <w:szCs w:val="22"/>
        </w:rPr>
        <w:t>1. Kritik an der Darstellung des „Staatsvolks“</w:t>
      </w:r>
    </w:p>
    <w:p w14:paraId="05FC9114" w14:textId="77777777" w:rsidR="008907E4" w:rsidRPr="008907E4" w:rsidRDefault="008907E4" w:rsidP="008907E4">
      <w:pPr>
        <w:rPr>
          <w:rFonts w:ascii="Tahoma" w:hAnsi="Tahoma" w:cs="Tahoma"/>
          <w:i/>
          <w:iCs/>
          <w:sz w:val="22"/>
          <w:szCs w:val="22"/>
        </w:rPr>
      </w:pPr>
      <w:r w:rsidRPr="008907E4">
        <w:rPr>
          <w:rFonts w:ascii="Tahoma" w:hAnsi="Tahoma" w:cs="Tahoma"/>
          <w:i/>
          <w:iCs/>
          <w:sz w:val="22"/>
          <w:szCs w:val="22"/>
        </w:rPr>
        <w:t>Im Beitrag wurde gesagt, die Palästinenser seien „eine Ethnie, entstanden aus</w:t>
      </w:r>
    </w:p>
    <w:p w14:paraId="4556516E" w14:textId="77777777" w:rsidR="008907E4" w:rsidRPr="008907E4" w:rsidRDefault="008907E4" w:rsidP="008907E4">
      <w:pPr>
        <w:rPr>
          <w:rFonts w:ascii="Tahoma" w:hAnsi="Tahoma" w:cs="Tahoma"/>
          <w:i/>
          <w:iCs/>
          <w:sz w:val="22"/>
          <w:szCs w:val="22"/>
        </w:rPr>
      </w:pPr>
      <w:r w:rsidRPr="008907E4">
        <w:rPr>
          <w:rFonts w:ascii="Tahoma" w:hAnsi="Tahoma" w:cs="Tahoma"/>
          <w:i/>
          <w:iCs/>
          <w:sz w:val="22"/>
          <w:szCs w:val="22"/>
        </w:rPr>
        <w:t>arabischen Völkern, die seit Langem im Nahen Osten leben“. Diese Formulierung ist</w:t>
      </w:r>
    </w:p>
    <w:p w14:paraId="1B7EC666" w14:textId="77777777" w:rsidR="008907E4" w:rsidRPr="008907E4" w:rsidRDefault="008907E4" w:rsidP="008907E4">
      <w:pPr>
        <w:rPr>
          <w:rFonts w:ascii="Tahoma" w:hAnsi="Tahoma" w:cs="Tahoma"/>
          <w:i/>
          <w:iCs/>
          <w:sz w:val="22"/>
          <w:szCs w:val="22"/>
        </w:rPr>
      </w:pPr>
      <w:r w:rsidRPr="008907E4">
        <w:rPr>
          <w:rFonts w:ascii="Tahoma" w:hAnsi="Tahoma" w:cs="Tahoma"/>
          <w:i/>
          <w:iCs/>
          <w:sz w:val="22"/>
          <w:szCs w:val="22"/>
        </w:rPr>
        <w:t>nicht nur verkürzt, sondern politisch entwaffnend und historisch irreführend.</w:t>
      </w:r>
    </w:p>
    <w:p w14:paraId="698DFDEF" w14:textId="77777777" w:rsidR="008907E4" w:rsidRPr="008907E4" w:rsidRDefault="008907E4" w:rsidP="008907E4">
      <w:pPr>
        <w:rPr>
          <w:rFonts w:ascii="Tahoma" w:hAnsi="Tahoma" w:cs="Tahoma"/>
          <w:i/>
          <w:iCs/>
          <w:sz w:val="22"/>
          <w:szCs w:val="22"/>
        </w:rPr>
      </w:pPr>
      <w:r w:rsidRPr="008907E4">
        <w:rPr>
          <w:rFonts w:ascii="Tahoma" w:hAnsi="Tahoma" w:cs="Tahoma"/>
          <w:i/>
          <w:iCs/>
          <w:sz w:val="22"/>
          <w:szCs w:val="22"/>
        </w:rPr>
        <w:t>Während SRF betont, dass Juden „seit Jahrtausenden hier lebten“, wird der indigenen</w:t>
      </w:r>
    </w:p>
    <w:p w14:paraId="0753B396" w14:textId="77777777" w:rsidR="008907E4" w:rsidRPr="008907E4" w:rsidRDefault="008907E4" w:rsidP="008907E4">
      <w:pPr>
        <w:rPr>
          <w:rFonts w:ascii="Tahoma" w:hAnsi="Tahoma" w:cs="Tahoma"/>
          <w:i/>
          <w:iCs/>
          <w:sz w:val="22"/>
          <w:szCs w:val="22"/>
        </w:rPr>
      </w:pPr>
      <w:r w:rsidRPr="008907E4">
        <w:rPr>
          <w:rFonts w:ascii="Tahoma" w:hAnsi="Tahoma" w:cs="Tahoma"/>
          <w:i/>
          <w:iCs/>
          <w:sz w:val="22"/>
          <w:szCs w:val="22"/>
        </w:rPr>
        <w:t>palästinensischen Bevölkerung ein solcher Status nicht nur vorenthalten, sondern</w:t>
      </w:r>
    </w:p>
    <w:p w14:paraId="086C09BD" w14:textId="77777777" w:rsidR="008A19CD" w:rsidRDefault="008907E4" w:rsidP="008907E4">
      <w:pPr>
        <w:rPr>
          <w:rFonts w:ascii="Tahoma" w:hAnsi="Tahoma" w:cs="Tahoma"/>
          <w:i/>
          <w:iCs/>
          <w:sz w:val="22"/>
          <w:szCs w:val="22"/>
        </w:rPr>
      </w:pPr>
      <w:r w:rsidRPr="008907E4">
        <w:rPr>
          <w:rFonts w:ascii="Tahoma" w:hAnsi="Tahoma" w:cs="Tahoma"/>
          <w:i/>
          <w:iCs/>
          <w:sz w:val="22"/>
          <w:szCs w:val="22"/>
        </w:rPr>
        <w:t xml:space="preserve">regelrecht verwischt. </w:t>
      </w:r>
    </w:p>
    <w:p w14:paraId="266C4E5B" w14:textId="77777777" w:rsidR="008A19CD" w:rsidRDefault="008A19CD" w:rsidP="008907E4">
      <w:pPr>
        <w:rPr>
          <w:rFonts w:ascii="Tahoma" w:hAnsi="Tahoma" w:cs="Tahoma"/>
          <w:i/>
          <w:iCs/>
          <w:sz w:val="22"/>
          <w:szCs w:val="22"/>
        </w:rPr>
      </w:pPr>
    </w:p>
    <w:p w14:paraId="311D3B57" w14:textId="33BE4BBD" w:rsidR="008907E4" w:rsidRPr="008907E4" w:rsidRDefault="008907E4" w:rsidP="008907E4">
      <w:pPr>
        <w:rPr>
          <w:rFonts w:ascii="Tahoma" w:hAnsi="Tahoma" w:cs="Tahoma"/>
          <w:i/>
          <w:iCs/>
          <w:sz w:val="22"/>
          <w:szCs w:val="22"/>
        </w:rPr>
      </w:pPr>
      <w:r w:rsidRPr="008907E4">
        <w:rPr>
          <w:rFonts w:ascii="Tahoma" w:hAnsi="Tahoma" w:cs="Tahoma"/>
          <w:i/>
          <w:iCs/>
          <w:sz w:val="22"/>
          <w:szCs w:val="22"/>
        </w:rPr>
        <w:lastRenderedPageBreak/>
        <w:t>Dass ein Volk, das seit Jahrhunderten in diesem Raum lebte –</w:t>
      </w:r>
    </w:p>
    <w:p w14:paraId="497A34C6" w14:textId="77777777" w:rsidR="008907E4" w:rsidRPr="008907E4" w:rsidRDefault="008907E4" w:rsidP="008907E4">
      <w:pPr>
        <w:rPr>
          <w:rFonts w:ascii="Tahoma" w:hAnsi="Tahoma" w:cs="Tahoma"/>
          <w:i/>
          <w:iCs/>
          <w:sz w:val="22"/>
          <w:szCs w:val="22"/>
        </w:rPr>
      </w:pPr>
      <w:r w:rsidRPr="008907E4">
        <w:rPr>
          <w:rFonts w:ascii="Tahoma" w:hAnsi="Tahoma" w:cs="Tahoma"/>
          <w:i/>
          <w:iCs/>
          <w:sz w:val="22"/>
          <w:szCs w:val="22"/>
        </w:rPr>
        <w:t>inklusive christlicher und muslimischer Gemeinschaften – durch Kolonialisierung und</w:t>
      </w:r>
    </w:p>
    <w:p w14:paraId="7047644C" w14:textId="77777777" w:rsidR="008907E4" w:rsidRDefault="008907E4" w:rsidP="008907E4">
      <w:pPr>
        <w:rPr>
          <w:rFonts w:ascii="Tahoma" w:hAnsi="Tahoma" w:cs="Tahoma"/>
          <w:i/>
          <w:iCs/>
          <w:sz w:val="22"/>
          <w:szCs w:val="22"/>
        </w:rPr>
      </w:pPr>
      <w:r w:rsidRPr="008907E4">
        <w:rPr>
          <w:rFonts w:ascii="Tahoma" w:hAnsi="Tahoma" w:cs="Tahoma"/>
          <w:i/>
          <w:iCs/>
          <w:sz w:val="22"/>
          <w:szCs w:val="22"/>
        </w:rPr>
        <w:t>Vertreibung entrechtet wurde, bleibt vollständig ausgeblendet.</w:t>
      </w:r>
    </w:p>
    <w:p w14:paraId="558B4044" w14:textId="77777777" w:rsidR="00B30312" w:rsidRPr="008907E4" w:rsidRDefault="00B30312" w:rsidP="008907E4">
      <w:pPr>
        <w:rPr>
          <w:rFonts w:ascii="Tahoma" w:hAnsi="Tahoma" w:cs="Tahoma"/>
          <w:i/>
          <w:iCs/>
          <w:sz w:val="22"/>
          <w:szCs w:val="22"/>
        </w:rPr>
      </w:pPr>
    </w:p>
    <w:p w14:paraId="7DDFA5AD" w14:textId="77777777" w:rsidR="008907E4" w:rsidRPr="008907E4" w:rsidRDefault="008907E4" w:rsidP="008907E4">
      <w:pPr>
        <w:rPr>
          <w:rFonts w:ascii="Tahoma" w:hAnsi="Tahoma" w:cs="Tahoma"/>
          <w:b/>
          <w:bCs/>
          <w:i/>
          <w:iCs/>
          <w:sz w:val="22"/>
          <w:szCs w:val="22"/>
        </w:rPr>
      </w:pPr>
      <w:r w:rsidRPr="008907E4">
        <w:rPr>
          <w:rFonts w:ascii="Tahoma" w:hAnsi="Tahoma" w:cs="Tahoma"/>
          <w:b/>
          <w:bCs/>
          <w:i/>
          <w:iCs/>
          <w:sz w:val="22"/>
          <w:szCs w:val="22"/>
        </w:rPr>
        <w:t>2. Darstellung des „Staatsgebiets“ – historisch verzerrt</w:t>
      </w:r>
    </w:p>
    <w:p w14:paraId="07E3D79C" w14:textId="77777777" w:rsidR="008907E4" w:rsidRPr="008907E4" w:rsidRDefault="008907E4" w:rsidP="008907E4">
      <w:pPr>
        <w:rPr>
          <w:rFonts w:ascii="Tahoma" w:hAnsi="Tahoma" w:cs="Tahoma"/>
          <w:i/>
          <w:iCs/>
          <w:sz w:val="22"/>
          <w:szCs w:val="22"/>
        </w:rPr>
      </w:pPr>
      <w:r w:rsidRPr="008907E4">
        <w:rPr>
          <w:rFonts w:ascii="Tahoma" w:hAnsi="Tahoma" w:cs="Tahoma"/>
          <w:i/>
          <w:iCs/>
          <w:sz w:val="22"/>
          <w:szCs w:val="22"/>
        </w:rPr>
        <w:t>Der Beitrag suggerierte, dass viele Palästinenser ein Gebiet „vom Fluss bis zum Meer“</w:t>
      </w:r>
    </w:p>
    <w:p w14:paraId="4AD33597" w14:textId="77777777" w:rsidR="008907E4" w:rsidRPr="008907E4" w:rsidRDefault="008907E4" w:rsidP="008907E4">
      <w:pPr>
        <w:rPr>
          <w:rFonts w:ascii="Tahoma" w:hAnsi="Tahoma" w:cs="Tahoma"/>
          <w:i/>
          <w:iCs/>
          <w:sz w:val="22"/>
          <w:szCs w:val="22"/>
        </w:rPr>
      </w:pPr>
      <w:r w:rsidRPr="008907E4">
        <w:rPr>
          <w:rFonts w:ascii="Tahoma" w:hAnsi="Tahoma" w:cs="Tahoma"/>
          <w:i/>
          <w:iCs/>
          <w:sz w:val="22"/>
          <w:szCs w:val="22"/>
        </w:rPr>
        <w:t>beanspruchen und damit Israels Existenzrecht infrage stellen.</w:t>
      </w:r>
    </w:p>
    <w:p w14:paraId="23BBCB5B" w14:textId="77777777" w:rsidR="008907E4" w:rsidRPr="008907E4" w:rsidRDefault="008907E4" w:rsidP="008907E4">
      <w:pPr>
        <w:rPr>
          <w:rFonts w:ascii="Tahoma" w:hAnsi="Tahoma" w:cs="Tahoma"/>
          <w:i/>
          <w:iCs/>
          <w:sz w:val="22"/>
          <w:szCs w:val="22"/>
        </w:rPr>
      </w:pPr>
      <w:r w:rsidRPr="008907E4">
        <w:rPr>
          <w:rFonts w:ascii="Tahoma" w:hAnsi="Tahoma" w:cs="Tahoma"/>
          <w:i/>
          <w:iCs/>
          <w:sz w:val="22"/>
          <w:szCs w:val="22"/>
        </w:rPr>
        <w:t>Diese Formulierung trägt ungewollt dazu bei, ein Narrativ zu verstärken, das die</w:t>
      </w:r>
    </w:p>
    <w:p w14:paraId="7675324E" w14:textId="77777777" w:rsidR="008907E4" w:rsidRPr="008907E4" w:rsidRDefault="008907E4" w:rsidP="008907E4">
      <w:pPr>
        <w:rPr>
          <w:rFonts w:ascii="Tahoma" w:hAnsi="Tahoma" w:cs="Tahoma"/>
          <w:i/>
          <w:iCs/>
          <w:sz w:val="22"/>
          <w:szCs w:val="22"/>
        </w:rPr>
      </w:pPr>
      <w:r w:rsidRPr="008907E4">
        <w:rPr>
          <w:rFonts w:ascii="Tahoma" w:hAnsi="Tahoma" w:cs="Tahoma"/>
          <w:i/>
          <w:iCs/>
          <w:sz w:val="22"/>
          <w:szCs w:val="22"/>
        </w:rPr>
        <w:t>legitimen Forderungen der Palästinenser nach Freiheit und Selbstbestimmung als</w:t>
      </w:r>
    </w:p>
    <w:p w14:paraId="0917C8C9" w14:textId="77777777" w:rsidR="008907E4" w:rsidRPr="008907E4" w:rsidRDefault="008907E4" w:rsidP="008907E4">
      <w:pPr>
        <w:rPr>
          <w:rFonts w:ascii="Tahoma" w:hAnsi="Tahoma" w:cs="Tahoma"/>
          <w:i/>
          <w:iCs/>
          <w:sz w:val="22"/>
          <w:szCs w:val="22"/>
        </w:rPr>
      </w:pPr>
      <w:r w:rsidRPr="008907E4">
        <w:rPr>
          <w:rFonts w:ascii="Tahoma" w:hAnsi="Tahoma" w:cs="Tahoma"/>
          <w:i/>
          <w:iCs/>
          <w:sz w:val="22"/>
          <w:szCs w:val="22"/>
        </w:rPr>
        <w:t>Bedrohung darstellt. Tatsächlich geht es den Palästinensern vor allem darum, unter der</w:t>
      </w:r>
    </w:p>
    <w:p w14:paraId="707E709A" w14:textId="77777777" w:rsidR="008907E4" w:rsidRPr="008907E4" w:rsidRDefault="008907E4" w:rsidP="008907E4">
      <w:pPr>
        <w:rPr>
          <w:rFonts w:ascii="Tahoma" w:hAnsi="Tahoma" w:cs="Tahoma"/>
          <w:i/>
          <w:iCs/>
          <w:sz w:val="22"/>
          <w:szCs w:val="22"/>
        </w:rPr>
      </w:pPr>
      <w:r w:rsidRPr="008907E4">
        <w:rPr>
          <w:rFonts w:ascii="Tahoma" w:hAnsi="Tahoma" w:cs="Tahoma"/>
          <w:i/>
          <w:iCs/>
          <w:sz w:val="22"/>
          <w:szCs w:val="22"/>
        </w:rPr>
        <w:t>fortwährenden Besatzung und Unterdrückung ein Leben in Würde und Souveränität zu</w:t>
      </w:r>
    </w:p>
    <w:p w14:paraId="3DB2BCE1" w14:textId="77777777" w:rsidR="008907E4" w:rsidRPr="008907E4" w:rsidRDefault="008907E4" w:rsidP="008907E4">
      <w:pPr>
        <w:rPr>
          <w:rFonts w:ascii="Tahoma" w:hAnsi="Tahoma" w:cs="Tahoma"/>
          <w:i/>
          <w:iCs/>
          <w:sz w:val="22"/>
          <w:szCs w:val="22"/>
        </w:rPr>
      </w:pPr>
      <w:r w:rsidRPr="008907E4">
        <w:rPr>
          <w:rFonts w:ascii="Tahoma" w:hAnsi="Tahoma" w:cs="Tahoma"/>
          <w:i/>
          <w:iCs/>
          <w:sz w:val="22"/>
          <w:szCs w:val="22"/>
        </w:rPr>
        <w:t>führen.</w:t>
      </w:r>
    </w:p>
    <w:p w14:paraId="0D04E42D" w14:textId="77777777" w:rsidR="008907E4" w:rsidRPr="008907E4" w:rsidRDefault="008907E4" w:rsidP="008907E4">
      <w:pPr>
        <w:rPr>
          <w:rFonts w:ascii="Tahoma" w:hAnsi="Tahoma" w:cs="Tahoma"/>
          <w:i/>
          <w:iCs/>
          <w:sz w:val="22"/>
          <w:szCs w:val="22"/>
        </w:rPr>
      </w:pPr>
      <w:r w:rsidRPr="008907E4">
        <w:rPr>
          <w:rFonts w:ascii="Tahoma" w:hAnsi="Tahoma" w:cs="Tahoma"/>
          <w:i/>
          <w:iCs/>
          <w:sz w:val="22"/>
          <w:szCs w:val="22"/>
        </w:rPr>
        <w:t>Die Aussage wurde nicht historisch oder politisch eingeordnet, sondern isoliert</w:t>
      </w:r>
    </w:p>
    <w:p w14:paraId="0FB23D0F" w14:textId="77777777" w:rsidR="008907E4" w:rsidRPr="008907E4" w:rsidRDefault="008907E4" w:rsidP="008907E4">
      <w:pPr>
        <w:rPr>
          <w:rFonts w:ascii="Tahoma" w:hAnsi="Tahoma" w:cs="Tahoma"/>
          <w:i/>
          <w:iCs/>
          <w:sz w:val="22"/>
          <w:szCs w:val="22"/>
        </w:rPr>
      </w:pPr>
      <w:r w:rsidRPr="008907E4">
        <w:rPr>
          <w:rFonts w:ascii="Tahoma" w:hAnsi="Tahoma" w:cs="Tahoma"/>
          <w:i/>
          <w:iCs/>
          <w:sz w:val="22"/>
          <w:szCs w:val="22"/>
        </w:rPr>
        <w:t>dargestellt – ohne Erwähnung jahrzehntelanger Besatzungserfahrungen, Enteignungen</w:t>
      </w:r>
    </w:p>
    <w:p w14:paraId="43DD3075" w14:textId="77777777" w:rsidR="008907E4" w:rsidRPr="008907E4" w:rsidRDefault="008907E4" w:rsidP="008907E4">
      <w:pPr>
        <w:rPr>
          <w:rFonts w:ascii="Tahoma" w:hAnsi="Tahoma" w:cs="Tahoma"/>
          <w:i/>
          <w:iCs/>
          <w:sz w:val="22"/>
          <w:szCs w:val="22"/>
        </w:rPr>
      </w:pPr>
      <w:r w:rsidRPr="008907E4">
        <w:rPr>
          <w:rFonts w:ascii="Tahoma" w:hAnsi="Tahoma" w:cs="Tahoma"/>
          <w:i/>
          <w:iCs/>
          <w:sz w:val="22"/>
          <w:szCs w:val="22"/>
        </w:rPr>
        <w:t>oder der ursprünglichen UN-Teilungspläne von 1947.</w:t>
      </w:r>
    </w:p>
    <w:p w14:paraId="1798C156" w14:textId="77777777" w:rsidR="008907E4" w:rsidRPr="008907E4" w:rsidRDefault="008907E4" w:rsidP="008907E4">
      <w:pPr>
        <w:rPr>
          <w:rFonts w:ascii="Tahoma" w:hAnsi="Tahoma" w:cs="Tahoma"/>
          <w:i/>
          <w:iCs/>
          <w:sz w:val="22"/>
          <w:szCs w:val="22"/>
        </w:rPr>
      </w:pPr>
      <w:r w:rsidRPr="008907E4">
        <w:rPr>
          <w:rFonts w:ascii="Tahoma" w:hAnsi="Tahoma" w:cs="Tahoma"/>
          <w:i/>
          <w:iCs/>
          <w:sz w:val="22"/>
          <w:szCs w:val="22"/>
        </w:rPr>
        <w:t>Es fehlt zudem jeder Hinweis auf den massiven israelischen Siedlungsbau, die</w:t>
      </w:r>
    </w:p>
    <w:p w14:paraId="5A3DC8FF" w14:textId="77777777" w:rsidR="008907E4" w:rsidRPr="008907E4" w:rsidRDefault="008907E4" w:rsidP="008907E4">
      <w:pPr>
        <w:rPr>
          <w:rFonts w:ascii="Tahoma" w:hAnsi="Tahoma" w:cs="Tahoma"/>
          <w:i/>
          <w:iCs/>
          <w:sz w:val="22"/>
          <w:szCs w:val="22"/>
        </w:rPr>
      </w:pPr>
      <w:r w:rsidRPr="008907E4">
        <w:rPr>
          <w:rFonts w:ascii="Tahoma" w:hAnsi="Tahoma" w:cs="Tahoma"/>
          <w:i/>
          <w:iCs/>
          <w:sz w:val="22"/>
          <w:szCs w:val="22"/>
        </w:rPr>
        <w:t>Sperranlagen, die systematische Zersplitterung palästinensischer Gebiete, die täglichen</w:t>
      </w:r>
    </w:p>
    <w:p w14:paraId="0F54C6CA" w14:textId="77777777" w:rsidR="008907E4" w:rsidRPr="008907E4" w:rsidRDefault="008907E4" w:rsidP="008907E4">
      <w:pPr>
        <w:rPr>
          <w:rFonts w:ascii="Tahoma" w:hAnsi="Tahoma" w:cs="Tahoma"/>
          <w:i/>
          <w:iCs/>
          <w:sz w:val="22"/>
          <w:szCs w:val="22"/>
        </w:rPr>
      </w:pPr>
      <w:r w:rsidRPr="008907E4">
        <w:rPr>
          <w:rFonts w:ascii="Tahoma" w:hAnsi="Tahoma" w:cs="Tahoma"/>
          <w:i/>
          <w:iCs/>
          <w:sz w:val="22"/>
          <w:szCs w:val="22"/>
        </w:rPr>
        <w:t>militärischen Einschränkungen sowie die Anwendung israelischen Militärrechts</w:t>
      </w:r>
    </w:p>
    <w:p w14:paraId="425AF94B" w14:textId="77777777" w:rsidR="008907E4" w:rsidRPr="008907E4" w:rsidRDefault="008907E4" w:rsidP="008907E4">
      <w:pPr>
        <w:rPr>
          <w:rFonts w:ascii="Tahoma" w:hAnsi="Tahoma" w:cs="Tahoma"/>
          <w:i/>
          <w:iCs/>
          <w:sz w:val="22"/>
          <w:szCs w:val="22"/>
        </w:rPr>
      </w:pPr>
      <w:r w:rsidRPr="008907E4">
        <w:rPr>
          <w:rFonts w:ascii="Tahoma" w:hAnsi="Tahoma" w:cs="Tahoma"/>
          <w:i/>
          <w:iCs/>
          <w:sz w:val="22"/>
          <w:szCs w:val="22"/>
        </w:rPr>
        <w:t>gegenüber der palästinensischen Bevölkerung – all dies macht ein kohärentes</w:t>
      </w:r>
    </w:p>
    <w:p w14:paraId="371A77C8" w14:textId="77777777" w:rsidR="008907E4" w:rsidRDefault="008907E4" w:rsidP="008907E4">
      <w:pPr>
        <w:rPr>
          <w:rFonts w:ascii="Tahoma" w:hAnsi="Tahoma" w:cs="Tahoma"/>
          <w:i/>
          <w:iCs/>
          <w:sz w:val="22"/>
          <w:szCs w:val="22"/>
        </w:rPr>
      </w:pPr>
      <w:r w:rsidRPr="008907E4">
        <w:rPr>
          <w:rFonts w:ascii="Tahoma" w:hAnsi="Tahoma" w:cs="Tahoma"/>
          <w:i/>
          <w:iCs/>
          <w:sz w:val="22"/>
          <w:szCs w:val="22"/>
        </w:rPr>
        <w:t>Staatsgebiet faktisch unmöglich.</w:t>
      </w:r>
    </w:p>
    <w:p w14:paraId="2FD38CE8" w14:textId="77777777" w:rsidR="008A19CD" w:rsidRPr="008907E4" w:rsidRDefault="008A19CD" w:rsidP="008907E4">
      <w:pPr>
        <w:rPr>
          <w:rFonts w:ascii="Tahoma" w:hAnsi="Tahoma" w:cs="Tahoma"/>
          <w:i/>
          <w:iCs/>
          <w:sz w:val="22"/>
          <w:szCs w:val="22"/>
        </w:rPr>
      </w:pPr>
    </w:p>
    <w:p w14:paraId="0D71FCB7" w14:textId="77777777" w:rsidR="008907E4" w:rsidRPr="008907E4" w:rsidRDefault="008907E4" w:rsidP="008907E4">
      <w:pPr>
        <w:rPr>
          <w:rFonts w:ascii="Tahoma" w:hAnsi="Tahoma" w:cs="Tahoma"/>
          <w:b/>
          <w:bCs/>
          <w:i/>
          <w:iCs/>
          <w:sz w:val="22"/>
          <w:szCs w:val="22"/>
        </w:rPr>
      </w:pPr>
      <w:r w:rsidRPr="008907E4">
        <w:rPr>
          <w:rFonts w:ascii="Tahoma" w:hAnsi="Tahoma" w:cs="Tahoma"/>
          <w:b/>
          <w:bCs/>
          <w:i/>
          <w:iCs/>
          <w:sz w:val="22"/>
          <w:szCs w:val="22"/>
        </w:rPr>
        <w:t>3. Staatsgewalt und politische Repräsentation</w:t>
      </w:r>
    </w:p>
    <w:p w14:paraId="68F8AFC6" w14:textId="77777777" w:rsidR="008907E4" w:rsidRPr="008907E4" w:rsidRDefault="008907E4" w:rsidP="008907E4">
      <w:pPr>
        <w:rPr>
          <w:rFonts w:ascii="Tahoma" w:hAnsi="Tahoma" w:cs="Tahoma"/>
          <w:i/>
          <w:iCs/>
          <w:sz w:val="22"/>
          <w:szCs w:val="22"/>
        </w:rPr>
      </w:pPr>
      <w:r w:rsidRPr="008907E4">
        <w:rPr>
          <w:rFonts w:ascii="Tahoma" w:hAnsi="Tahoma" w:cs="Tahoma"/>
          <w:i/>
          <w:iCs/>
          <w:sz w:val="22"/>
          <w:szCs w:val="22"/>
        </w:rPr>
        <w:t>Die Erwähnung des Wahlsiegs der Hamas im Jahr 2006 sowie die Korruption der Fatah</w:t>
      </w:r>
    </w:p>
    <w:p w14:paraId="277C4115" w14:textId="77777777" w:rsidR="008907E4" w:rsidRPr="008907E4" w:rsidRDefault="008907E4" w:rsidP="008907E4">
      <w:pPr>
        <w:rPr>
          <w:rFonts w:ascii="Tahoma" w:hAnsi="Tahoma" w:cs="Tahoma"/>
          <w:i/>
          <w:iCs/>
          <w:sz w:val="22"/>
          <w:szCs w:val="22"/>
        </w:rPr>
      </w:pPr>
      <w:r w:rsidRPr="008907E4">
        <w:rPr>
          <w:rFonts w:ascii="Tahoma" w:hAnsi="Tahoma" w:cs="Tahoma"/>
          <w:i/>
          <w:iCs/>
          <w:sz w:val="22"/>
          <w:szCs w:val="22"/>
        </w:rPr>
        <w:t>wurden ohne jeglichen Kontext zur israelischen Besatzung eingebettet. Dass Israel</w:t>
      </w:r>
    </w:p>
    <w:p w14:paraId="64D989A9" w14:textId="77777777" w:rsidR="008907E4" w:rsidRPr="008907E4" w:rsidRDefault="008907E4" w:rsidP="008907E4">
      <w:pPr>
        <w:rPr>
          <w:rFonts w:ascii="Tahoma" w:hAnsi="Tahoma" w:cs="Tahoma"/>
          <w:i/>
          <w:iCs/>
          <w:sz w:val="22"/>
          <w:szCs w:val="22"/>
        </w:rPr>
      </w:pPr>
      <w:r w:rsidRPr="008907E4">
        <w:rPr>
          <w:rFonts w:ascii="Tahoma" w:hAnsi="Tahoma" w:cs="Tahoma"/>
          <w:i/>
          <w:iCs/>
          <w:sz w:val="22"/>
          <w:szCs w:val="22"/>
        </w:rPr>
        <w:t>durch gezielte Politik und Gewaltmonopol (einschliesslich Kooperation mit Teilen der</w:t>
      </w:r>
    </w:p>
    <w:p w14:paraId="0882F9BB" w14:textId="77777777" w:rsidR="008907E4" w:rsidRPr="008907E4" w:rsidRDefault="008907E4" w:rsidP="008907E4">
      <w:pPr>
        <w:rPr>
          <w:rFonts w:ascii="Tahoma" w:hAnsi="Tahoma" w:cs="Tahoma"/>
          <w:i/>
          <w:iCs/>
          <w:sz w:val="22"/>
          <w:szCs w:val="22"/>
        </w:rPr>
      </w:pPr>
      <w:r w:rsidRPr="008907E4">
        <w:rPr>
          <w:rFonts w:ascii="Tahoma" w:hAnsi="Tahoma" w:cs="Tahoma"/>
          <w:i/>
          <w:iCs/>
          <w:sz w:val="22"/>
          <w:szCs w:val="22"/>
        </w:rPr>
        <w:t>Palästinensischen Autonomiebehörde) jede funktionierende Selbstverwaltung</w:t>
      </w:r>
    </w:p>
    <w:p w14:paraId="23B32C8A" w14:textId="77777777" w:rsidR="008907E4" w:rsidRDefault="008907E4" w:rsidP="008907E4">
      <w:pPr>
        <w:rPr>
          <w:rFonts w:ascii="Tahoma" w:hAnsi="Tahoma" w:cs="Tahoma"/>
          <w:i/>
          <w:iCs/>
          <w:sz w:val="22"/>
          <w:szCs w:val="22"/>
        </w:rPr>
      </w:pPr>
      <w:r w:rsidRPr="008907E4">
        <w:rPr>
          <w:rFonts w:ascii="Tahoma" w:hAnsi="Tahoma" w:cs="Tahoma"/>
          <w:i/>
          <w:iCs/>
          <w:sz w:val="22"/>
          <w:szCs w:val="22"/>
        </w:rPr>
        <w:t>untergräbt, bleibt unerwähnt.</w:t>
      </w:r>
    </w:p>
    <w:p w14:paraId="3BB14FA9" w14:textId="77777777" w:rsidR="008A19CD" w:rsidRPr="008907E4" w:rsidRDefault="008A19CD" w:rsidP="008907E4">
      <w:pPr>
        <w:rPr>
          <w:rFonts w:ascii="Tahoma" w:hAnsi="Tahoma" w:cs="Tahoma"/>
          <w:i/>
          <w:iCs/>
          <w:sz w:val="22"/>
          <w:szCs w:val="22"/>
        </w:rPr>
      </w:pPr>
    </w:p>
    <w:p w14:paraId="2BC0670D" w14:textId="77777777" w:rsidR="008907E4" w:rsidRPr="008907E4" w:rsidRDefault="008907E4" w:rsidP="008907E4">
      <w:pPr>
        <w:rPr>
          <w:rFonts w:ascii="Tahoma" w:hAnsi="Tahoma" w:cs="Tahoma"/>
          <w:b/>
          <w:bCs/>
          <w:i/>
          <w:iCs/>
          <w:sz w:val="22"/>
          <w:szCs w:val="22"/>
        </w:rPr>
      </w:pPr>
      <w:r w:rsidRPr="008907E4">
        <w:rPr>
          <w:rFonts w:ascii="Tahoma" w:hAnsi="Tahoma" w:cs="Tahoma"/>
          <w:b/>
          <w:bCs/>
          <w:i/>
          <w:iCs/>
          <w:sz w:val="22"/>
          <w:szCs w:val="22"/>
        </w:rPr>
        <w:t>4. Verzerrte Darstellung der internationalen Anerkennung</w:t>
      </w:r>
    </w:p>
    <w:p w14:paraId="0F3E2B0D" w14:textId="77777777" w:rsidR="008907E4" w:rsidRPr="008907E4" w:rsidRDefault="008907E4" w:rsidP="008907E4">
      <w:pPr>
        <w:rPr>
          <w:rFonts w:ascii="Tahoma" w:hAnsi="Tahoma" w:cs="Tahoma"/>
          <w:i/>
          <w:iCs/>
          <w:sz w:val="22"/>
          <w:szCs w:val="22"/>
        </w:rPr>
      </w:pPr>
      <w:r w:rsidRPr="008907E4">
        <w:rPr>
          <w:rFonts w:ascii="Tahoma" w:hAnsi="Tahoma" w:cs="Tahoma"/>
          <w:i/>
          <w:iCs/>
          <w:sz w:val="22"/>
          <w:szCs w:val="22"/>
        </w:rPr>
        <w:t>Frankreich wurde im Beitrag als das erste wichtige europäische Land dargestellt, das</w:t>
      </w:r>
    </w:p>
    <w:p w14:paraId="5F065695" w14:textId="77777777" w:rsidR="008907E4" w:rsidRPr="008907E4" w:rsidRDefault="008907E4" w:rsidP="008907E4">
      <w:pPr>
        <w:rPr>
          <w:rFonts w:ascii="Tahoma" w:hAnsi="Tahoma" w:cs="Tahoma"/>
          <w:i/>
          <w:iCs/>
          <w:sz w:val="22"/>
          <w:szCs w:val="22"/>
        </w:rPr>
      </w:pPr>
      <w:r w:rsidRPr="008907E4">
        <w:rPr>
          <w:rFonts w:ascii="Tahoma" w:hAnsi="Tahoma" w:cs="Tahoma"/>
          <w:i/>
          <w:iCs/>
          <w:sz w:val="22"/>
          <w:szCs w:val="22"/>
        </w:rPr>
        <w:t>Palästina anerkennt. Das ist sachlich falsch. Bereits zuvor haben Länder wie Schweden,</w:t>
      </w:r>
    </w:p>
    <w:p w14:paraId="11346933" w14:textId="77777777" w:rsidR="008907E4" w:rsidRDefault="008907E4" w:rsidP="008907E4">
      <w:pPr>
        <w:rPr>
          <w:rFonts w:ascii="Tahoma" w:hAnsi="Tahoma" w:cs="Tahoma"/>
          <w:i/>
          <w:iCs/>
          <w:sz w:val="22"/>
          <w:szCs w:val="22"/>
        </w:rPr>
      </w:pPr>
      <w:r w:rsidRPr="008907E4">
        <w:rPr>
          <w:rFonts w:ascii="Tahoma" w:hAnsi="Tahoma" w:cs="Tahoma"/>
          <w:i/>
          <w:iCs/>
          <w:sz w:val="22"/>
          <w:szCs w:val="22"/>
        </w:rPr>
        <w:t>Spanien, Norwegen und Irland Palästina offiziell anerkannt.</w:t>
      </w:r>
    </w:p>
    <w:p w14:paraId="56B98BA9" w14:textId="77777777" w:rsidR="008A19CD" w:rsidRPr="008907E4" w:rsidRDefault="008A19CD" w:rsidP="008907E4">
      <w:pPr>
        <w:rPr>
          <w:rFonts w:ascii="Tahoma" w:hAnsi="Tahoma" w:cs="Tahoma"/>
          <w:i/>
          <w:iCs/>
          <w:sz w:val="22"/>
          <w:szCs w:val="22"/>
        </w:rPr>
      </w:pPr>
    </w:p>
    <w:p w14:paraId="22B47F8E" w14:textId="77777777" w:rsidR="008907E4" w:rsidRPr="008907E4" w:rsidRDefault="008907E4" w:rsidP="008907E4">
      <w:pPr>
        <w:rPr>
          <w:rFonts w:ascii="Tahoma" w:hAnsi="Tahoma" w:cs="Tahoma"/>
          <w:b/>
          <w:bCs/>
          <w:i/>
          <w:iCs/>
          <w:sz w:val="22"/>
          <w:szCs w:val="22"/>
        </w:rPr>
      </w:pPr>
      <w:r w:rsidRPr="008907E4">
        <w:rPr>
          <w:rFonts w:ascii="Tahoma" w:hAnsi="Tahoma" w:cs="Tahoma"/>
          <w:b/>
          <w:bCs/>
          <w:i/>
          <w:iCs/>
          <w:sz w:val="22"/>
          <w:szCs w:val="22"/>
        </w:rPr>
        <w:t>5. Auslassung völkerrechtlicher Einschätzungen</w:t>
      </w:r>
    </w:p>
    <w:p w14:paraId="018E1CA4" w14:textId="77777777" w:rsidR="008907E4" w:rsidRPr="008907E4" w:rsidRDefault="008907E4" w:rsidP="008907E4">
      <w:pPr>
        <w:rPr>
          <w:rFonts w:ascii="Tahoma" w:hAnsi="Tahoma" w:cs="Tahoma"/>
          <w:i/>
          <w:iCs/>
          <w:sz w:val="22"/>
          <w:szCs w:val="22"/>
        </w:rPr>
      </w:pPr>
      <w:r w:rsidRPr="008907E4">
        <w:rPr>
          <w:rFonts w:ascii="Tahoma" w:hAnsi="Tahoma" w:cs="Tahoma"/>
          <w:i/>
          <w:iCs/>
          <w:sz w:val="22"/>
          <w:szCs w:val="22"/>
        </w:rPr>
        <w:t>Es fehlen Hinweise auf die Positionen des Internationalen Gerichtshofs oder auf die</w:t>
      </w:r>
    </w:p>
    <w:p w14:paraId="43ED7FF1" w14:textId="77777777" w:rsidR="008907E4" w:rsidRPr="008907E4" w:rsidRDefault="008907E4" w:rsidP="008907E4">
      <w:pPr>
        <w:rPr>
          <w:rFonts w:ascii="Tahoma" w:hAnsi="Tahoma" w:cs="Tahoma"/>
          <w:i/>
          <w:iCs/>
          <w:sz w:val="22"/>
          <w:szCs w:val="22"/>
        </w:rPr>
      </w:pPr>
      <w:r w:rsidRPr="008907E4">
        <w:rPr>
          <w:rFonts w:ascii="Tahoma" w:hAnsi="Tahoma" w:cs="Tahoma"/>
          <w:i/>
          <w:iCs/>
          <w:sz w:val="22"/>
          <w:szCs w:val="22"/>
        </w:rPr>
        <w:t>Einschätzungen von renommierten Organisationen wie Human Rights Watch und</w:t>
      </w:r>
    </w:p>
    <w:p w14:paraId="09521B85" w14:textId="77777777" w:rsidR="008907E4" w:rsidRPr="008907E4" w:rsidRDefault="008907E4" w:rsidP="008907E4">
      <w:pPr>
        <w:rPr>
          <w:rFonts w:ascii="Tahoma" w:hAnsi="Tahoma" w:cs="Tahoma"/>
          <w:i/>
          <w:iCs/>
          <w:sz w:val="22"/>
          <w:szCs w:val="22"/>
        </w:rPr>
      </w:pPr>
      <w:r w:rsidRPr="008907E4">
        <w:rPr>
          <w:rFonts w:ascii="Tahoma" w:hAnsi="Tahoma" w:cs="Tahoma"/>
          <w:i/>
          <w:iCs/>
          <w:sz w:val="22"/>
          <w:szCs w:val="22"/>
        </w:rPr>
        <w:t>Amnesty International. Diese haben Israels Vorgehen in den besetzten Gebieten klar als</w:t>
      </w:r>
    </w:p>
    <w:p w14:paraId="2DF66987" w14:textId="77777777" w:rsidR="008907E4" w:rsidRPr="008907E4" w:rsidRDefault="008907E4" w:rsidP="008907E4">
      <w:pPr>
        <w:rPr>
          <w:rFonts w:ascii="Tahoma" w:hAnsi="Tahoma" w:cs="Tahoma"/>
          <w:i/>
          <w:iCs/>
          <w:sz w:val="22"/>
          <w:szCs w:val="22"/>
        </w:rPr>
      </w:pPr>
      <w:r w:rsidRPr="008907E4">
        <w:rPr>
          <w:rFonts w:ascii="Tahoma" w:hAnsi="Tahoma" w:cs="Tahoma"/>
          <w:i/>
          <w:iCs/>
          <w:sz w:val="22"/>
          <w:szCs w:val="22"/>
        </w:rPr>
        <w:t>völkerrechtswidrig und teils als Apartheid bezeichnet. Auch der IGH selbst hat die</w:t>
      </w:r>
    </w:p>
    <w:p w14:paraId="613B19F6" w14:textId="77777777" w:rsidR="008907E4" w:rsidRPr="008907E4" w:rsidRDefault="008907E4" w:rsidP="008907E4">
      <w:pPr>
        <w:rPr>
          <w:rFonts w:ascii="Tahoma" w:hAnsi="Tahoma" w:cs="Tahoma"/>
          <w:i/>
          <w:iCs/>
          <w:sz w:val="22"/>
          <w:szCs w:val="22"/>
        </w:rPr>
      </w:pPr>
      <w:r w:rsidRPr="008907E4">
        <w:rPr>
          <w:rFonts w:ascii="Tahoma" w:hAnsi="Tahoma" w:cs="Tahoma"/>
          <w:i/>
          <w:iCs/>
          <w:sz w:val="22"/>
          <w:szCs w:val="22"/>
        </w:rPr>
        <w:t>Besatzung als völkerrechtswidrig festgestellt.</w:t>
      </w:r>
    </w:p>
    <w:p w14:paraId="335FDBDE" w14:textId="77777777" w:rsidR="008907E4" w:rsidRPr="008907E4" w:rsidRDefault="008907E4" w:rsidP="008907E4">
      <w:pPr>
        <w:rPr>
          <w:rFonts w:ascii="Tahoma" w:hAnsi="Tahoma" w:cs="Tahoma"/>
          <w:i/>
          <w:iCs/>
          <w:sz w:val="22"/>
          <w:szCs w:val="22"/>
        </w:rPr>
      </w:pPr>
      <w:r w:rsidRPr="008907E4">
        <w:rPr>
          <w:rFonts w:ascii="Tahoma" w:hAnsi="Tahoma" w:cs="Tahoma"/>
          <w:i/>
          <w:iCs/>
          <w:sz w:val="22"/>
          <w:szCs w:val="22"/>
        </w:rPr>
        <w:t>Mir ist bewusst, dass ein Beitrag im Rahmen von „10 vor 10“ nicht die ganze Komplexität</w:t>
      </w:r>
    </w:p>
    <w:p w14:paraId="7F82A3E5" w14:textId="77777777" w:rsidR="008907E4" w:rsidRPr="008907E4" w:rsidRDefault="008907E4" w:rsidP="008907E4">
      <w:pPr>
        <w:rPr>
          <w:rFonts w:ascii="Tahoma" w:hAnsi="Tahoma" w:cs="Tahoma"/>
          <w:i/>
          <w:iCs/>
          <w:sz w:val="22"/>
          <w:szCs w:val="22"/>
        </w:rPr>
      </w:pPr>
      <w:r w:rsidRPr="008907E4">
        <w:rPr>
          <w:rFonts w:ascii="Tahoma" w:hAnsi="Tahoma" w:cs="Tahoma"/>
          <w:i/>
          <w:iCs/>
          <w:sz w:val="22"/>
          <w:szCs w:val="22"/>
        </w:rPr>
        <w:t>des Nahostkonflikts darstellen kann. Doch die Auswahl, Gewichtung und Einordnung der</w:t>
      </w:r>
    </w:p>
    <w:p w14:paraId="51D676A3" w14:textId="77777777" w:rsidR="008907E4" w:rsidRPr="008907E4" w:rsidRDefault="008907E4" w:rsidP="008907E4">
      <w:pPr>
        <w:rPr>
          <w:rFonts w:ascii="Tahoma" w:hAnsi="Tahoma" w:cs="Tahoma"/>
          <w:i/>
          <w:iCs/>
          <w:sz w:val="22"/>
          <w:szCs w:val="22"/>
        </w:rPr>
      </w:pPr>
      <w:r w:rsidRPr="008907E4">
        <w:rPr>
          <w:rFonts w:ascii="Tahoma" w:hAnsi="Tahoma" w:cs="Tahoma"/>
          <w:i/>
          <w:iCs/>
          <w:sz w:val="22"/>
          <w:szCs w:val="22"/>
        </w:rPr>
        <w:t>Aussagen in diesem Beitrag war einseitig und unausgewogen. Sie verstärkt stereotype</w:t>
      </w:r>
    </w:p>
    <w:p w14:paraId="2B921B2A" w14:textId="77777777" w:rsidR="008907E4" w:rsidRPr="008907E4" w:rsidRDefault="008907E4" w:rsidP="008907E4">
      <w:pPr>
        <w:rPr>
          <w:rFonts w:ascii="Tahoma" w:hAnsi="Tahoma" w:cs="Tahoma"/>
          <w:i/>
          <w:iCs/>
          <w:sz w:val="22"/>
          <w:szCs w:val="22"/>
        </w:rPr>
      </w:pPr>
      <w:r w:rsidRPr="008907E4">
        <w:rPr>
          <w:rFonts w:ascii="Tahoma" w:hAnsi="Tahoma" w:cs="Tahoma"/>
          <w:i/>
          <w:iCs/>
          <w:sz w:val="22"/>
          <w:szCs w:val="22"/>
        </w:rPr>
        <w:t>Narrative, blendet wesentliche Fakten aus und delegitimiert die palästinensische</w:t>
      </w:r>
    </w:p>
    <w:p w14:paraId="1F28ECD5" w14:textId="77777777" w:rsidR="008907E4" w:rsidRDefault="008907E4" w:rsidP="008907E4">
      <w:pPr>
        <w:rPr>
          <w:rFonts w:ascii="Tahoma" w:hAnsi="Tahoma" w:cs="Tahoma"/>
          <w:i/>
          <w:iCs/>
          <w:sz w:val="22"/>
          <w:szCs w:val="22"/>
        </w:rPr>
      </w:pPr>
      <w:r w:rsidRPr="008907E4">
        <w:rPr>
          <w:rFonts w:ascii="Tahoma" w:hAnsi="Tahoma" w:cs="Tahoma"/>
          <w:i/>
          <w:iCs/>
          <w:sz w:val="22"/>
          <w:szCs w:val="22"/>
        </w:rPr>
        <w:t>Perspektive.</w:t>
      </w:r>
    </w:p>
    <w:p w14:paraId="6D453091" w14:textId="77777777" w:rsidR="008A19CD" w:rsidRPr="008907E4" w:rsidRDefault="008A19CD" w:rsidP="008907E4">
      <w:pPr>
        <w:rPr>
          <w:rFonts w:ascii="Tahoma" w:hAnsi="Tahoma" w:cs="Tahoma"/>
          <w:i/>
          <w:iCs/>
          <w:sz w:val="22"/>
          <w:szCs w:val="22"/>
        </w:rPr>
      </w:pPr>
    </w:p>
    <w:p w14:paraId="0012614D" w14:textId="77777777" w:rsidR="008907E4" w:rsidRPr="008907E4" w:rsidRDefault="008907E4" w:rsidP="008907E4">
      <w:pPr>
        <w:rPr>
          <w:rFonts w:ascii="Tahoma" w:hAnsi="Tahoma" w:cs="Tahoma"/>
          <w:i/>
          <w:iCs/>
          <w:sz w:val="22"/>
          <w:szCs w:val="22"/>
        </w:rPr>
      </w:pPr>
      <w:r w:rsidRPr="008907E4">
        <w:rPr>
          <w:rFonts w:ascii="Tahoma" w:hAnsi="Tahoma" w:cs="Tahoma"/>
          <w:i/>
          <w:iCs/>
          <w:sz w:val="22"/>
          <w:szCs w:val="22"/>
        </w:rPr>
        <w:lastRenderedPageBreak/>
        <w:t>Ich bitte Sie deshalb um eine Stellungnahme und um Prüfung dieser Kritik in Hinblick auf</w:t>
      </w:r>
    </w:p>
    <w:p w14:paraId="5C2B8A1B" w14:textId="77777777" w:rsidR="008907E4" w:rsidRDefault="008907E4" w:rsidP="008907E4">
      <w:pPr>
        <w:rPr>
          <w:rFonts w:ascii="Tahoma" w:hAnsi="Tahoma" w:cs="Tahoma"/>
          <w:i/>
          <w:iCs/>
          <w:sz w:val="22"/>
          <w:szCs w:val="22"/>
        </w:rPr>
      </w:pPr>
      <w:r w:rsidRPr="008907E4">
        <w:rPr>
          <w:rFonts w:ascii="Tahoma" w:hAnsi="Tahoma" w:cs="Tahoma"/>
          <w:i/>
          <w:iCs/>
          <w:sz w:val="22"/>
          <w:szCs w:val="22"/>
        </w:rPr>
        <w:t>die Einhaltung des Sachgerechtigkeitsgebots gemäss RTVG.</w:t>
      </w:r>
    </w:p>
    <w:p w14:paraId="5BCA8A7E" w14:textId="77777777" w:rsidR="00D91377" w:rsidRDefault="00D91377" w:rsidP="008907E4">
      <w:pPr>
        <w:rPr>
          <w:rFonts w:ascii="Tahoma" w:hAnsi="Tahoma" w:cs="Tahoma"/>
          <w:i/>
          <w:iCs/>
          <w:sz w:val="22"/>
          <w:szCs w:val="22"/>
        </w:rPr>
      </w:pPr>
    </w:p>
    <w:p w14:paraId="1A31FE66" w14:textId="3484E0B4" w:rsidR="00B30312" w:rsidRDefault="008A19CD" w:rsidP="008907E4">
      <w:pPr>
        <w:rPr>
          <w:rFonts w:ascii="Tahoma" w:hAnsi="Tahoma" w:cs="Tahoma"/>
          <w:b/>
          <w:bCs/>
          <w:sz w:val="22"/>
          <w:szCs w:val="22"/>
        </w:rPr>
      </w:pPr>
      <w:r>
        <w:rPr>
          <w:rFonts w:ascii="Tahoma" w:hAnsi="Tahoma" w:cs="Tahoma"/>
          <w:b/>
          <w:bCs/>
          <w:sz w:val="22"/>
          <w:szCs w:val="22"/>
        </w:rPr>
        <w:tab/>
      </w:r>
      <w:r>
        <w:rPr>
          <w:rFonts w:ascii="Tahoma" w:hAnsi="Tahoma" w:cs="Tahoma"/>
          <w:b/>
          <w:bCs/>
          <w:sz w:val="22"/>
          <w:szCs w:val="22"/>
        </w:rPr>
        <w:tab/>
      </w:r>
      <w:r>
        <w:rPr>
          <w:rFonts w:ascii="Tahoma" w:hAnsi="Tahoma" w:cs="Tahoma"/>
          <w:b/>
          <w:bCs/>
          <w:sz w:val="22"/>
          <w:szCs w:val="22"/>
        </w:rPr>
        <w:tab/>
      </w:r>
      <w:r>
        <w:rPr>
          <w:rFonts w:ascii="Tahoma" w:hAnsi="Tahoma" w:cs="Tahoma"/>
          <w:b/>
          <w:bCs/>
          <w:sz w:val="22"/>
          <w:szCs w:val="22"/>
        </w:rPr>
        <w:tab/>
        <w:t>****</w:t>
      </w:r>
    </w:p>
    <w:p w14:paraId="6A887677" w14:textId="77777777" w:rsidR="00B30312" w:rsidRDefault="00B30312" w:rsidP="008907E4">
      <w:pPr>
        <w:rPr>
          <w:rFonts w:ascii="Tahoma" w:hAnsi="Tahoma" w:cs="Tahoma"/>
          <w:b/>
          <w:bCs/>
          <w:sz w:val="22"/>
          <w:szCs w:val="22"/>
        </w:rPr>
      </w:pPr>
    </w:p>
    <w:p w14:paraId="17ED7060" w14:textId="4BCA911B" w:rsidR="008A19CD" w:rsidRPr="008A19CD" w:rsidRDefault="008A19CD" w:rsidP="008A19CD">
      <w:pPr>
        <w:rPr>
          <w:rFonts w:ascii="Tahoma" w:hAnsi="Tahoma" w:cs="Tahoma"/>
          <w:i/>
          <w:iCs/>
          <w:sz w:val="22"/>
          <w:szCs w:val="22"/>
        </w:rPr>
      </w:pPr>
      <w:r w:rsidRPr="008A19CD">
        <w:rPr>
          <w:rFonts w:ascii="Tahoma" w:hAnsi="Tahoma" w:cs="Tahoma"/>
          <w:i/>
          <w:iCs/>
          <w:sz w:val="22"/>
          <w:szCs w:val="22"/>
        </w:rPr>
        <w:t>In der Sendung 10 vor 10 vom 25. Juli 2025, zum Thema «... angekündigte Palästina Anerkennung durch Frankreich», sind uns schwerwiegende Unterlassungen in der Berichterstattung aufgefallen, die wir als Verletzung des RTVG, Artikel 4, wahrnehmen.</w:t>
      </w:r>
    </w:p>
    <w:p w14:paraId="33C6B4CB" w14:textId="77777777" w:rsidR="008A19CD" w:rsidRPr="008A19CD" w:rsidRDefault="008A19CD" w:rsidP="008A19CD">
      <w:pPr>
        <w:rPr>
          <w:rFonts w:ascii="Tahoma" w:hAnsi="Tahoma" w:cs="Tahoma"/>
          <w:sz w:val="22"/>
          <w:szCs w:val="22"/>
        </w:rPr>
      </w:pPr>
    </w:p>
    <w:p w14:paraId="0AFCD617" w14:textId="77777777" w:rsidR="008A19CD" w:rsidRPr="008A19CD" w:rsidRDefault="008A19CD" w:rsidP="008A19CD">
      <w:pPr>
        <w:jc w:val="both"/>
        <w:rPr>
          <w:rFonts w:ascii="Tahoma" w:hAnsi="Tahoma" w:cs="Tahoma"/>
          <w:i/>
          <w:iCs/>
          <w:sz w:val="22"/>
          <w:szCs w:val="22"/>
        </w:rPr>
      </w:pPr>
      <w:r w:rsidRPr="008A19CD">
        <w:rPr>
          <w:rFonts w:ascii="Tahoma" w:hAnsi="Tahoma" w:cs="Tahoma"/>
          <w:i/>
          <w:iCs/>
          <w:sz w:val="22"/>
          <w:szCs w:val="22"/>
        </w:rPr>
        <w:t>1. Punkt</w:t>
      </w:r>
    </w:p>
    <w:p w14:paraId="792A44C5" w14:textId="26D0DC2D" w:rsidR="008A19CD" w:rsidRDefault="008A19CD" w:rsidP="008A19CD">
      <w:pPr>
        <w:jc w:val="both"/>
        <w:rPr>
          <w:rFonts w:ascii="Tahoma" w:hAnsi="Tahoma" w:cs="Tahoma"/>
          <w:i/>
          <w:iCs/>
          <w:sz w:val="22"/>
          <w:szCs w:val="22"/>
        </w:rPr>
      </w:pPr>
      <w:r w:rsidRPr="008A19CD">
        <w:rPr>
          <w:rFonts w:ascii="Tahoma" w:hAnsi="Tahoma" w:cs="Tahoma"/>
          <w:i/>
          <w:iCs/>
          <w:sz w:val="22"/>
          <w:szCs w:val="22"/>
        </w:rPr>
        <w:t>Im Beitrag wurde die palästinensische Bevölkerung als Ethnie dargestellt, die «schon lange in dieser Gegend lebe». Gleichzeitig wurde die jüdische Bevölkerung im Bericht als «.,. seit Jahrtausenden im Gebiet lebend» dargestellt. Obwohl dies grundsätzlich auf beide Bevölkerungsgruppen gleichermassen zutrifft. Mit dieser Aussage wird die palästinensische Bevölkerung historisch heruntergesetzt und der Anspruch auf einen eigenen Staat (2-Staatenlösung) unterschwellig als nicht legitim dargestellt. Dass eine massive Besiedlung der jüdischen Bevölkerung erst nach dem 2. Weltkrieg, mit der Vertreibung eines grossen Teils der palästinensischen Bevölkerung 1948 stattfand, wurde ausgeklammert.</w:t>
      </w:r>
    </w:p>
    <w:p w14:paraId="7C0A5F00" w14:textId="77777777" w:rsidR="008A19CD" w:rsidRPr="008A19CD" w:rsidRDefault="008A19CD" w:rsidP="008A19CD">
      <w:pPr>
        <w:jc w:val="both"/>
        <w:rPr>
          <w:rFonts w:ascii="Tahoma" w:hAnsi="Tahoma" w:cs="Tahoma"/>
          <w:i/>
          <w:iCs/>
          <w:sz w:val="22"/>
          <w:szCs w:val="22"/>
        </w:rPr>
      </w:pPr>
    </w:p>
    <w:p w14:paraId="659D31D3" w14:textId="77777777" w:rsidR="008A19CD" w:rsidRPr="008A19CD" w:rsidRDefault="008A19CD" w:rsidP="008A19CD">
      <w:pPr>
        <w:jc w:val="both"/>
        <w:rPr>
          <w:rFonts w:ascii="Tahoma" w:hAnsi="Tahoma" w:cs="Tahoma"/>
          <w:i/>
          <w:iCs/>
          <w:sz w:val="22"/>
          <w:szCs w:val="22"/>
        </w:rPr>
      </w:pPr>
      <w:r w:rsidRPr="008A19CD">
        <w:rPr>
          <w:rFonts w:ascii="Tahoma" w:hAnsi="Tahoma" w:cs="Tahoma"/>
          <w:i/>
          <w:iCs/>
          <w:sz w:val="22"/>
          <w:szCs w:val="22"/>
        </w:rPr>
        <w:t>2. Punkt</w:t>
      </w:r>
    </w:p>
    <w:p w14:paraId="1B62BC3B" w14:textId="77777777" w:rsidR="008A19CD" w:rsidRDefault="008A19CD" w:rsidP="008A19CD">
      <w:pPr>
        <w:rPr>
          <w:rFonts w:ascii="Tahoma" w:hAnsi="Tahoma" w:cs="Tahoma"/>
          <w:i/>
          <w:iCs/>
          <w:sz w:val="22"/>
          <w:szCs w:val="22"/>
        </w:rPr>
      </w:pPr>
      <w:r w:rsidRPr="008A19CD">
        <w:rPr>
          <w:rFonts w:ascii="Tahoma" w:hAnsi="Tahoma" w:cs="Tahoma"/>
          <w:i/>
          <w:iCs/>
          <w:sz w:val="22"/>
          <w:szCs w:val="22"/>
        </w:rPr>
        <w:t>Die Verkündung Frankreichs, dass im Herbst Palästina als Staat anerkannt werden würde und es das erste grosse Land in Europa sei, entspricht nicht den Tatsachen. Norwegen, Spanien, Schweden und Irland haben diesen Schritt bereits vollzogen. Zusätzlich ausgeklammert wurde dabei, dass Palästina schon von 147 von 193 Uno Mitgliedsstaaten anerkannt wurde.</w:t>
      </w:r>
      <w:r>
        <w:rPr>
          <w:rFonts w:ascii="Tahoma" w:hAnsi="Tahoma" w:cs="Tahoma"/>
          <w:i/>
          <w:iCs/>
          <w:sz w:val="22"/>
          <w:szCs w:val="22"/>
        </w:rPr>
        <w:t xml:space="preserve"> </w:t>
      </w:r>
    </w:p>
    <w:p w14:paraId="2FC1DEB2" w14:textId="5A160FA3" w:rsidR="008A19CD" w:rsidRPr="008A19CD" w:rsidRDefault="008A19CD" w:rsidP="008A19CD">
      <w:pPr>
        <w:rPr>
          <w:rFonts w:ascii="Tahoma" w:hAnsi="Tahoma" w:cs="Tahoma"/>
          <w:i/>
          <w:iCs/>
          <w:sz w:val="22"/>
          <w:szCs w:val="22"/>
        </w:rPr>
      </w:pPr>
      <w:r>
        <w:rPr>
          <w:rFonts w:ascii="Tahoma" w:hAnsi="Tahoma" w:cs="Tahoma"/>
          <w:i/>
          <w:iCs/>
          <w:sz w:val="22"/>
          <w:szCs w:val="22"/>
        </w:rPr>
        <w:t xml:space="preserve">  </w:t>
      </w:r>
    </w:p>
    <w:p w14:paraId="3B891F8B" w14:textId="77777777" w:rsidR="008A19CD" w:rsidRPr="008A19CD" w:rsidRDefault="008A19CD" w:rsidP="008A19CD">
      <w:pPr>
        <w:rPr>
          <w:rFonts w:ascii="Tahoma" w:hAnsi="Tahoma" w:cs="Tahoma"/>
          <w:i/>
          <w:iCs/>
          <w:sz w:val="22"/>
          <w:szCs w:val="22"/>
        </w:rPr>
      </w:pPr>
      <w:r w:rsidRPr="008A19CD">
        <w:rPr>
          <w:rFonts w:ascii="Tahoma" w:hAnsi="Tahoma" w:cs="Tahoma"/>
          <w:i/>
          <w:iCs/>
          <w:sz w:val="22"/>
          <w:szCs w:val="22"/>
        </w:rPr>
        <w:t>3. Punkt</w:t>
      </w:r>
    </w:p>
    <w:p w14:paraId="5A28002D" w14:textId="52425817" w:rsidR="008A19CD" w:rsidRPr="008A19CD" w:rsidRDefault="008A19CD" w:rsidP="008A19CD">
      <w:pPr>
        <w:rPr>
          <w:rFonts w:ascii="Tahoma" w:hAnsi="Tahoma" w:cs="Tahoma"/>
          <w:sz w:val="22"/>
          <w:szCs w:val="22"/>
        </w:rPr>
      </w:pPr>
      <w:r w:rsidRPr="008A19CD">
        <w:rPr>
          <w:rFonts w:ascii="Tahoma" w:hAnsi="Tahoma" w:cs="Tahoma"/>
          <w:sz w:val="22"/>
          <w:szCs w:val="22"/>
        </w:rPr>
        <w:t>Es war für uns mehr als störend, dass im Bericht sämtliche völkerrechtlichen Aspekte ausser Acht</w:t>
      </w:r>
      <w:r>
        <w:rPr>
          <w:rFonts w:ascii="Tahoma" w:hAnsi="Tahoma" w:cs="Tahoma"/>
          <w:sz w:val="22"/>
          <w:szCs w:val="22"/>
        </w:rPr>
        <w:t xml:space="preserve"> </w:t>
      </w:r>
      <w:r w:rsidRPr="008A19CD">
        <w:rPr>
          <w:rFonts w:ascii="Tahoma" w:hAnsi="Tahoma" w:cs="Tahoma"/>
          <w:sz w:val="22"/>
          <w:szCs w:val="22"/>
        </w:rPr>
        <w:t>gelassen wurden. Kein Wort über die Positionen des IGH (Internationaler Gerichtshof), oder</w:t>
      </w:r>
      <w:r>
        <w:rPr>
          <w:rFonts w:ascii="Tahoma" w:hAnsi="Tahoma" w:cs="Tahoma"/>
          <w:sz w:val="22"/>
          <w:szCs w:val="22"/>
        </w:rPr>
        <w:t xml:space="preserve"> </w:t>
      </w:r>
      <w:r w:rsidRPr="008A19CD">
        <w:rPr>
          <w:rFonts w:ascii="Tahoma" w:hAnsi="Tahoma" w:cs="Tahoma"/>
          <w:sz w:val="22"/>
          <w:szCs w:val="22"/>
        </w:rPr>
        <w:t>anerkannter Menschenrechtsorganisationen wie Amnesty International und andere zur aktuellen</w:t>
      </w:r>
      <w:r>
        <w:rPr>
          <w:rFonts w:ascii="Tahoma" w:hAnsi="Tahoma" w:cs="Tahoma"/>
          <w:sz w:val="22"/>
          <w:szCs w:val="22"/>
        </w:rPr>
        <w:t xml:space="preserve"> </w:t>
      </w:r>
      <w:r w:rsidRPr="008A19CD">
        <w:rPr>
          <w:rFonts w:ascii="Tahoma" w:hAnsi="Tahoma" w:cs="Tahoma"/>
          <w:sz w:val="22"/>
          <w:szCs w:val="22"/>
        </w:rPr>
        <w:t>Situation und zur Geschichte Palästinas.</w:t>
      </w:r>
    </w:p>
    <w:p w14:paraId="17875F1C" w14:textId="77777777" w:rsidR="008A19CD" w:rsidRDefault="008A19CD" w:rsidP="008A19CD">
      <w:pPr>
        <w:rPr>
          <w:rFonts w:ascii="Tahoma" w:hAnsi="Tahoma" w:cs="Tahoma"/>
          <w:sz w:val="22"/>
          <w:szCs w:val="22"/>
        </w:rPr>
      </w:pPr>
    </w:p>
    <w:p w14:paraId="76F23DD7" w14:textId="01447AB0" w:rsidR="00B30312" w:rsidRDefault="008A19CD" w:rsidP="008A19CD">
      <w:pPr>
        <w:rPr>
          <w:rFonts w:ascii="Tahoma" w:hAnsi="Tahoma" w:cs="Tahoma"/>
          <w:sz w:val="22"/>
          <w:szCs w:val="22"/>
        </w:rPr>
      </w:pPr>
      <w:r w:rsidRPr="008A19CD">
        <w:rPr>
          <w:rFonts w:ascii="Tahoma" w:hAnsi="Tahoma" w:cs="Tahoma"/>
          <w:sz w:val="22"/>
          <w:szCs w:val="22"/>
        </w:rPr>
        <w:t xml:space="preserve">So wie dieser Beitrag im </w:t>
      </w:r>
      <w:r>
        <w:rPr>
          <w:rFonts w:ascii="Tahoma" w:hAnsi="Tahoma" w:cs="Tahoma"/>
          <w:sz w:val="22"/>
          <w:szCs w:val="22"/>
        </w:rPr>
        <w:t>10</w:t>
      </w:r>
      <w:r w:rsidRPr="008A19CD">
        <w:rPr>
          <w:rFonts w:ascii="Tahoma" w:hAnsi="Tahoma" w:cs="Tahoma"/>
          <w:sz w:val="22"/>
          <w:szCs w:val="22"/>
        </w:rPr>
        <w:t>vor10 dargestellt wurde, empfinden wir die Berichterstattung als sehr einseitig.</w:t>
      </w:r>
      <w:r>
        <w:rPr>
          <w:rFonts w:ascii="Tahoma" w:hAnsi="Tahoma" w:cs="Tahoma"/>
          <w:sz w:val="22"/>
          <w:szCs w:val="22"/>
        </w:rPr>
        <w:t xml:space="preserve"> </w:t>
      </w:r>
      <w:r w:rsidRPr="008A19CD">
        <w:rPr>
          <w:rFonts w:ascii="Tahoma" w:hAnsi="Tahoma" w:cs="Tahoma"/>
          <w:sz w:val="22"/>
          <w:szCs w:val="22"/>
        </w:rPr>
        <w:t>Das Verschweigen historischer Tatsachen ist diskriminierend- und verharmlosend gegenüber der</w:t>
      </w:r>
      <w:r>
        <w:rPr>
          <w:rFonts w:ascii="Tahoma" w:hAnsi="Tahoma" w:cs="Tahoma"/>
          <w:sz w:val="22"/>
          <w:szCs w:val="22"/>
        </w:rPr>
        <w:t xml:space="preserve"> </w:t>
      </w:r>
      <w:r w:rsidRPr="008A19CD">
        <w:rPr>
          <w:rFonts w:ascii="Tahoma" w:hAnsi="Tahoma" w:cs="Tahoma"/>
          <w:sz w:val="22"/>
          <w:szCs w:val="22"/>
        </w:rPr>
        <w:t>palästinensischen Bevölkerung und kann als Verstoss gegen das RTVG, Art. 4 gewichtet werden.</w:t>
      </w:r>
    </w:p>
    <w:p w14:paraId="54D18964" w14:textId="77777777" w:rsidR="008A19CD" w:rsidRDefault="008A19CD" w:rsidP="008A19CD">
      <w:pPr>
        <w:rPr>
          <w:rFonts w:ascii="Tahoma" w:hAnsi="Tahoma" w:cs="Tahoma"/>
          <w:sz w:val="22"/>
          <w:szCs w:val="22"/>
        </w:rPr>
      </w:pPr>
    </w:p>
    <w:p w14:paraId="19B71A1D" w14:textId="1185DD73" w:rsidR="008A19CD" w:rsidRDefault="008A19CD" w:rsidP="008A19CD">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w:t>
      </w:r>
    </w:p>
    <w:p w14:paraId="5E3E3819" w14:textId="77777777" w:rsidR="008A19CD" w:rsidRDefault="008A19CD" w:rsidP="008A19CD">
      <w:pPr>
        <w:rPr>
          <w:rFonts w:ascii="Tahoma" w:hAnsi="Tahoma" w:cs="Tahoma"/>
          <w:sz w:val="22"/>
          <w:szCs w:val="22"/>
        </w:rPr>
      </w:pPr>
    </w:p>
    <w:p w14:paraId="1CB46283" w14:textId="77777777" w:rsidR="008A19CD" w:rsidRPr="008A19CD" w:rsidRDefault="008A19CD" w:rsidP="008A19CD">
      <w:pPr>
        <w:rPr>
          <w:rFonts w:ascii="Tahoma" w:hAnsi="Tahoma" w:cs="Tahoma"/>
          <w:sz w:val="22"/>
          <w:szCs w:val="22"/>
        </w:rPr>
      </w:pPr>
    </w:p>
    <w:p w14:paraId="6B569061" w14:textId="77777777" w:rsidR="00B30312" w:rsidRDefault="00B30312" w:rsidP="008907E4">
      <w:pPr>
        <w:rPr>
          <w:rFonts w:ascii="Tahoma" w:hAnsi="Tahoma" w:cs="Tahoma"/>
          <w:b/>
          <w:bCs/>
          <w:sz w:val="22"/>
          <w:szCs w:val="22"/>
        </w:rPr>
      </w:pPr>
    </w:p>
    <w:p w14:paraId="4C1FA306" w14:textId="77777777" w:rsidR="008A19CD" w:rsidRDefault="008A19CD" w:rsidP="008907E4">
      <w:pPr>
        <w:rPr>
          <w:rFonts w:ascii="Tahoma" w:hAnsi="Tahoma" w:cs="Tahoma"/>
          <w:b/>
          <w:bCs/>
          <w:sz w:val="22"/>
          <w:szCs w:val="22"/>
        </w:rPr>
      </w:pPr>
    </w:p>
    <w:p w14:paraId="351F3EFC" w14:textId="77777777" w:rsidR="008A19CD" w:rsidRDefault="008A19CD" w:rsidP="008907E4">
      <w:pPr>
        <w:rPr>
          <w:rFonts w:ascii="Tahoma" w:hAnsi="Tahoma" w:cs="Tahoma"/>
          <w:b/>
          <w:bCs/>
          <w:sz w:val="22"/>
          <w:szCs w:val="22"/>
        </w:rPr>
      </w:pPr>
    </w:p>
    <w:p w14:paraId="04600994" w14:textId="77777777" w:rsidR="008A19CD" w:rsidRDefault="008A19CD" w:rsidP="008907E4">
      <w:pPr>
        <w:rPr>
          <w:rFonts w:ascii="Tahoma" w:hAnsi="Tahoma" w:cs="Tahoma"/>
          <w:b/>
          <w:bCs/>
          <w:sz w:val="22"/>
          <w:szCs w:val="22"/>
        </w:rPr>
      </w:pPr>
    </w:p>
    <w:p w14:paraId="2F344137" w14:textId="77777777" w:rsidR="008A19CD" w:rsidRDefault="008A19CD" w:rsidP="008907E4">
      <w:pPr>
        <w:rPr>
          <w:rFonts w:ascii="Tahoma" w:hAnsi="Tahoma" w:cs="Tahoma"/>
          <w:b/>
          <w:bCs/>
          <w:sz w:val="22"/>
          <w:szCs w:val="22"/>
        </w:rPr>
      </w:pPr>
    </w:p>
    <w:p w14:paraId="3CBA11AC" w14:textId="463B486E" w:rsidR="00D91377" w:rsidRDefault="00D91377" w:rsidP="008907E4">
      <w:pPr>
        <w:rPr>
          <w:rFonts w:ascii="Tahoma" w:hAnsi="Tahoma" w:cs="Tahoma"/>
          <w:sz w:val="22"/>
          <w:szCs w:val="22"/>
        </w:rPr>
      </w:pPr>
      <w:r w:rsidRPr="00D91377">
        <w:rPr>
          <w:rFonts w:ascii="Tahoma" w:hAnsi="Tahoma" w:cs="Tahoma"/>
          <w:b/>
          <w:bCs/>
          <w:sz w:val="22"/>
          <w:szCs w:val="22"/>
        </w:rPr>
        <w:lastRenderedPageBreak/>
        <w:t>Die Redaktion</w:t>
      </w:r>
      <w:r w:rsidRPr="00D91377">
        <w:rPr>
          <w:rFonts w:ascii="Tahoma" w:hAnsi="Tahoma" w:cs="Tahoma"/>
          <w:sz w:val="22"/>
          <w:szCs w:val="22"/>
        </w:rPr>
        <w:t xml:space="preserve"> nimmt wie folgt Stellung:</w:t>
      </w:r>
    </w:p>
    <w:p w14:paraId="36E4A6B8" w14:textId="77777777" w:rsidR="008A19CD" w:rsidRPr="00D91377" w:rsidRDefault="008A19CD" w:rsidP="008907E4">
      <w:pPr>
        <w:rPr>
          <w:rFonts w:ascii="Tahoma" w:hAnsi="Tahoma" w:cs="Tahoma"/>
          <w:sz w:val="22"/>
          <w:szCs w:val="22"/>
        </w:rPr>
      </w:pPr>
    </w:p>
    <w:p w14:paraId="60913D9E" w14:textId="77777777" w:rsidR="00D91377" w:rsidRPr="00D91377" w:rsidRDefault="00D91377" w:rsidP="00D91377">
      <w:pPr>
        <w:rPr>
          <w:rFonts w:ascii="Tahoma" w:eastAsia="Aptos" w:hAnsi="Tahoma" w:cs="Tahoma"/>
          <w:color w:val="000000" w:themeColor="text1"/>
          <w:sz w:val="22"/>
          <w:szCs w:val="22"/>
        </w:rPr>
      </w:pPr>
      <w:r w:rsidRPr="00D91377">
        <w:rPr>
          <w:rFonts w:ascii="Tahoma" w:eastAsia="Aptos" w:hAnsi="Tahoma" w:cs="Tahoma"/>
          <w:color w:val="000000" w:themeColor="text1"/>
          <w:sz w:val="22"/>
          <w:szCs w:val="22"/>
          <w:u w:val="single"/>
        </w:rPr>
        <w:t>Fokus des Beitrages</w:t>
      </w:r>
    </w:p>
    <w:p w14:paraId="3EF5C4C5" w14:textId="77777777" w:rsidR="00D91377" w:rsidRPr="00D91377" w:rsidRDefault="00D91377" w:rsidP="00D91377">
      <w:pPr>
        <w:rPr>
          <w:rFonts w:ascii="Tahoma" w:eastAsia="Aptos" w:hAnsi="Tahoma" w:cs="Tahoma"/>
          <w:color w:val="000000" w:themeColor="text1"/>
          <w:sz w:val="22"/>
          <w:szCs w:val="22"/>
        </w:rPr>
      </w:pPr>
      <w:r w:rsidRPr="00D91377">
        <w:rPr>
          <w:rFonts w:ascii="Tahoma" w:eastAsia="Aptos" w:hAnsi="Tahoma" w:cs="Tahoma"/>
          <w:color w:val="000000" w:themeColor="text1"/>
          <w:sz w:val="22"/>
          <w:szCs w:val="22"/>
        </w:rPr>
        <w:t xml:space="preserve">Anlass für den Beitrag ist die Ankündigung des französischen Präsidenten Emmanuel Macron, Palästina als Staat anzuerkennen. Er werde diese feierliche Erklärung vor der Generalversammlung der Vereinten Nationen im kommenden September abgeben. </w:t>
      </w:r>
    </w:p>
    <w:p w14:paraId="758A8265" w14:textId="77777777" w:rsidR="00D91377" w:rsidRPr="00D91377" w:rsidRDefault="00D91377" w:rsidP="00D91377">
      <w:pPr>
        <w:rPr>
          <w:rFonts w:ascii="Tahoma" w:eastAsia="Aptos" w:hAnsi="Tahoma" w:cs="Tahoma"/>
          <w:color w:val="000000" w:themeColor="text1"/>
          <w:sz w:val="22"/>
          <w:szCs w:val="22"/>
        </w:rPr>
      </w:pPr>
      <w:r w:rsidRPr="00D91377">
        <w:rPr>
          <w:rFonts w:ascii="Tahoma" w:eastAsia="Aptos" w:hAnsi="Tahoma" w:cs="Tahoma"/>
          <w:color w:val="000000" w:themeColor="text1"/>
          <w:sz w:val="22"/>
          <w:szCs w:val="22"/>
        </w:rPr>
        <w:t>Die Reaktionen auf diese Ankündigung Frankreichs waren voraussehbar. Während Israel und die USA den Schritt mit scharfen Worten kritisierten und als Kniefall vor dem Terrorismus verurteilten, begrüssten arabische Staaten diese Ankündigung.</w:t>
      </w:r>
    </w:p>
    <w:p w14:paraId="5DB94BCF" w14:textId="77777777" w:rsidR="00D91377" w:rsidRPr="00D91377" w:rsidRDefault="00D91377" w:rsidP="00D91377">
      <w:pPr>
        <w:rPr>
          <w:rFonts w:ascii="Tahoma" w:eastAsia="Aptos" w:hAnsi="Tahoma" w:cs="Tahoma"/>
          <w:color w:val="000000" w:themeColor="text1"/>
          <w:sz w:val="22"/>
          <w:szCs w:val="22"/>
        </w:rPr>
      </w:pPr>
      <w:r w:rsidRPr="00D91377">
        <w:rPr>
          <w:rFonts w:ascii="Tahoma" w:eastAsia="Aptos" w:hAnsi="Tahoma" w:cs="Tahoma"/>
          <w:color w:val="000000" w:themeColor="text1"/>
          <w:sz w:val="22"/>
          <w:szCs w:val="22"/>
        </w:rPr>
        <w:t>Das Newsmagazin 10 vor 10 hat die Aufgabe, hinter die Schlagzeilen zu blicken und Hintergründe zu vermitteln. Daher hat sich die Redaktion entschieden, die angekündigte Anerkennung eines Staates Palästina in einem Beitrag mit einem ausgewiesenen Völkerrechtler zu vertiefen.</w:t>
      </w:r>
    </w:p>
    <w:p w14:paraId="289E2C6D" w14:textId="77777777" w:rsidR="00D91377" w:rsidRPr="00D91377" w:rsidRDefault="00D91377" w:rsidP="00D91377">
      <w:pPr>
        <w:rPr>
          <w:rFonts w:ascii="Tahoma" w:eastAsia="Aptos" w:hAnsi="Tahoma" w:cs="Tahoma"/>
          <w:color w:val="000000" w:themeColor="text1"/>
          <w:sz w:val="22"/>
          <w:szCs w:val="22"/>
        </w:rPr>
      </w:pPr>
      <w:r w:rsidRPr="00D91377">
        <w:rPr>
          <w:rFonts w:ascii="Tahoma" w:eastAsia="Aptos" w:hAnsi="Tahoma" w:cs="Tahoma"/>
          <w:color w:val="000000" w:themeColor="text1"/>
          <w:sz w:val="22"/>
          <w:szCs w:val="22"/>
        </w:rPr>
        <w:t>Ausgangspunkt ist die gängige Theorie, wonach ein Staat über drei Elemente verfügen müsse - Staatsvolk, Staatsgebiet und Staatsgewalt. Auf diese 3-Elemente-Lehre bezieht sich auch das Eidgenössische Departement für auswärtige Angelegenheiten EDA.</w:t>
      </w:r>
    </w:p>
    <w:p w14:paraId="571B1E79" w14:textId="77777777" w:rsidR="00D91377" w:rsidRPr="00D91377" w:rsidRDefault="00D91377" w:rsidP="00D91377">
      <w:pPr>
        <w:rPr>
          <w:rFonts w:ascii="Tahoma" w:eastAsia="Aptos" w:hAnsi="Tahoma" w:cs="Tahoma"/>
          <w:color w:val="0070C0"/>
          <w:sz w:val="22"/>
          <w:szCs w:val="22"/>
        </w:rPr>
      </w:pPr>
      <w:hyperlink r:id="rId11">
        <w:r w:rsidRPr="00D91377">
          <w:rPr>
            <w:rStyle w:val="Hyperlink"/>
            <w:rFonts w:ascii="Tahoma" w:eastAsia="Aptos" w:hAnsi="Tahoma" w:cs="Tahoma"/>
            <w:color w:val="0070C0"/>
            <w:sz w:val="22"/>
            <w:szCs w:val="22"/>
          </w:rPr>
          <w:t>file:///C:/Users/Franz/Downloads/voelkerrechtliche-anerkennung-staaten-regierungen_DE.pdf</w:t>
        </w:r>
      </w:hyperlink>
    </w:p>
    <w:p w14:paraId="466CEFBC" w14:textId="77777777" w:rsidR="00D91377" w:rsidRPr="00D91377" w:rsidRDefault="00D91377" w:rsidP="00D91377">
      <w:pPr>
        <w:rPr>
          <w:rFonts w:ascii="Tahoma" w:eastAsia="Aptos" w:hAnsi="Tahoma" w:cs="Tahoma"/>
          <w:color w:val="000000" w:themeColor="text1"/>
          <w:sz w:val="22"/>
          <w:szCs w:val="22"/>
        </w:rPr>
      </w:pPr>
      <w:r w:rsidRPr="00D91377">
        <w:rPr>
          <w:rFonts w:ascii="Tahoma" w:eastAsia="Aptos" w:hAnsi="Tahoma" w:cs="Tahoma"/>
          <w:color w:val="000000" w:themeColor="text1"/>
          <w:sz w:val="22"/>
          <w:szCs w:val="22"/>
        </w:rPr>
        <w:t xml:space="preserve">Auf diese Lehre wird im Beitrag Bezug genommen; entlang dieser Linie wird die aktuelle Situation mit Blick auf einen Staat Palästina mit dem Völkerrechtler analysiert und vertieft. </w:t>
      </w:r>
    </w:p>
    <w:p w14:paraId="5C35C8BA" w14:textId="77777777" w:rsidR="00D91377" w:rsidRPr="00D91377" w:rsidRDefault="00D91377" w:rsidP="00D91377">
      <w:pPr>
        <w:rPr>
          <w:rFonts w:ascii="Tahoma" w:eastAsia="Aptos" w:hAnsi="Tahoma" w:cs="Tahoma"/>
          <w:color w:val="000000" w:themeColor="text1"/>
          <w:sz w:val="22"/>
          <w:szCs w:val="22"/>
        </w:rPr>
      </w:pPr>
    </w:p>
    <w:p w14:paraId="166261B6" w14:textId="77777777" w:rsidR="00D91377" w:rsidRPr="00D91377" w:rsidRDefault="00D91377" w:rsidP="00D91377">
      <w:pPr>
        <w:rPr>
          <w:rFonts w:ascii="Tahoma" w:eastAsia="Aptos" w:hAnsi="Tahoma" w:cs="Tahoma"/>
          <w:color w:val="000000" w:themeColor="text1"/>
          <w:sz w:val="22"/>
          <w:szCs w:val="22"/>
        </w:rPr>
      </w:pPr>
      <w:r w:rsidRPr="00D91377">
        <w:rPr>
          <w:rFonts w:ascii="Tahoma" w:eastAsia="Aptos" w:hAnsi="Tahoma" w:cs="Tahoma"/>
          <w:color w:val="000000" w:themeColor="text1"/>
          <w:sz w:val="22"/>
          <w:szCs w:val="22"/>
          <w:u w:val="single"/>
        </w:rPr>
        <w:t>Staatsvolk</w:t>
      </w:r>
    </w:p>
    <w:p w14:paraId="574B4A4C" w14:textId="77777777" w:rsidR="00D91377" w:rsidRPr="00D91377" w:rsidRDefault="00D91377" w:rsidP="00D91377">
      <w:pPr>
        <w:rPr>
          <w:rFonts w:ascii="Tahoma" w:eastAsia="Aptos" w:hAnsi="Tahoma" w:cs="Tahoma"/>
          <w:color w:val="000000" w:themeColor="text1"/>
          <w:sz w:val="22"/>
          <w:szCs w:val="22"/>
        </w:rPr>
      </w:pPr>
      <w:r w:rsidRPr="00D91377">
        <w:rPr>
          <w:rFonts w:ascii="Tahoma" w:eastAsia="Aptos" w:hAnsi="Tahoma" w:cs="Tahoma"/>
          <w:color w:val="000000" w:themeColor="text1"/>
          <w:sz w:val="22"/>
          <w:szCs w:val="22"/>
        </w:rPr>
        <w:t>Die Formulierung “Ethnie, entstanden aus arabischen Völkern, die seit Langem im Nahen Osten leben”, basiert auf einem Hintergrundgespräch mit dem Islamwissenschaftler Reinhard Schulze. Diese Formulierung wird dem Umstand gerecht, dass sich der Begriff Palästinenser erst unter der britischen Mandatszeit nach der Kriegsniederlage und dem Zusammenbruch des Osmanischen Reiches (1918/1919) etablierte.</w:t>
      </w:r>
    </w:p>
    <w:p w14:paraId="7E6E34E0" w14:textId="77777777" w:rsidR="00D91377" w:rsidRPr="00D91377" w:rsidRDefault="00D91377" w:rsidP="00D91377">
      <w:pPr>
        <w:rPr>
          <w:rFonts w:ascii="Tahoma" w:eastAsia="Aptos" w:hAnsi="Tahoma" w:cs="Tahoma"/>
          <w:color w:val="000000" w:themeColor="text1"/>
          <w:sz w:val="22"/>
          <w:szCs w:val="22"/>
        </w:rPr>
      </w:pPr>
      <w:r w:rsidRPr="00D91377">
        <w:rPr>
          <w:rFonts w:ascii="Tahoma" w:eastAsia="Aptos" w:hAnsi="Tahoma" w:cs="Tahoma"/>
          <w:color w:val="000000" w:themeColor="text1"/>
          <w:sz w:val="22"/>
          <w:szCs w:val="22"/>
        </w:rPr>
        <w:t>Im Beitrag wird klar gesagt, dass diese arabische Bevölkerung (Muslime, Christen) schon lange dieses Gebiet besiedelt hat. Eine weit in die Vergangenheit zurückreichende Besiedlung der Vorfahren der heutigen Palästinenser wurde in keiner Weise abgesprochen oder verwischt, sondern im Gegenteil festgestellt. Da die erwähnten arabischen Völker und Stämme eine komplexe Herkunft und Geschichte in der Region haben, wurde auf eine genaue Datierung verzichtet.</w:t>
      </w:r>
    </w:p>
    <w:p w14:paraId="64EF6B76" w14:textId="77777777" w:rsidR="00D91377" w:rsidRPr="00D91377" w:rsidRDefault="00D91377" w:rsidP="00D91377">
      <w:pPr>
        <w:rPr>
          <w:rFonts w:ascii="Tahoma" w:eastAsia="Aptos" w:hAnsi="Tahoma" w:cs="Tahoma"/>
          <w:color w:val="000000" w:themeColor="text1"/>
          <w:sz w:val="22"/>
          <w:szCs w:val="22"/>
        </w:rPr>
      </w:pPr>
      <w:r w:rsidRPr="00D91377">
        <w:rPr>
          <w:rFonts w:ascii="Tahoma" w:eastAsia="Aptos" w:hAnsi="Tahoma" w:cs="Tahoma"/>
          <w:color w:val="000000" w:themeColor="text1"/>
          <w:sz w:val="22"/>
          <w:szCs w:val="22"/>
        </w:rPr>
        <w:t xml:space="preserve">Ebenso wird gesagt, dass in diesem Gebiet auch Menschen jüdischen Glaubens ebenfalls seit langem lebten. Das Wort “auch” insinuiert, legt also nahe, dass die Juden nicht alleine in diesem Gebiet lebten. </w:t>
      </w:r>
    </w:p>
    <w:p w14:paraId="4FFA71E5" w14:textId="77777777" w:rsidR="00D91377" w:rsidRPr="00D91377" w:rsidRDefault="00D91377" w:rsidP="00D91377">
      <w:pPr>
        <w:rPr>
          <w:rFonts w:ascii="Tahoma" w:eastAsia="Aptos" w:hAnsi="Tahoma" w:cs="Tahoma"/>
          <w:color w:val="000000" w:themeColor="text1"/>
          <w:sz w:val="22"/>
          <w:szCs w:val="22"/>
        </w:rPr>
      </w:pPr>
      <w:r w:rsidRPr="00D91377">
        <w:rPr>
          <w:rFonts w:ascii="Tahoma" w:eastAsia="Aptos" w:hAnsi="Tahoma" w:cs="Tahoma"/>
          <w:color w:val="000000" w:themeColor="text1"/>
          <w:sz w:val="22"/>
          <w:szCs w:val="22"/>
        </w:rPr>
        <w:t>Der Beitrag sagt lediglich, dass Menschen mit unterschiedlichen Wurzeln im Mandatsgebiet Palästina und damit in der Region, die für eine Zweistaaten-Lösung relevant ist, seit Jahrhunderten lebten und leben. Der Beitrag nimmt entgegen dem Schreiben der Beanstanderin keine Zuschreibung eines Status oder eines Vorrechtes vor. Daher können wir dem Begriff “indigen” (für welche Bevölkerungsgruppe auch immer) keinen relevanten Sinn abgewinnen.</w:t>
      </w:r>
    </w:p>
    <w:p w14:paraId="55F04AD6" w14:textId="77777777" w:rsidR="00D91377" w:rsidRPr="00D91377" w:rsidRDefault="00D91377" w:rsidP="00D91377">
      <w:pPr>
        <w:rPr>
          <w:rFonts w:ascii="Tahoma" w:eastAsia="Aptos" w:hAnsi="Tahoma" w:cs="Tahoma"/>
          <w:color w:val="000000" w:themeColor="text1"/>
          <w:sz w:val="22"/>
          <w:szCs w:val="22"/>
        </w:rPr>
      </w:pPr>
      <w:r w:rsidRPr="00D91377">
        <w:rPr>
          <w:rFonts w:ascii="Tahoma" w:eastAsia="Aptos" w:hAnsi="Tahoma" w:cs="Tahoma"/>
          <w:color w:val="000000" w:themeColor="text1"/>
          <w:sz w:val="22"/>
          <w:szCs w:val="22"/>
        </w:rPr>
        <w:t>Wir weisen weiter darauf hin, dass beim Punkt “Staatsvolk” eruiert wurde, ob für eine Staatsdefinition von Palästina ein dazugehöriges Volk identifiziert werden kann, angelehnt an den Staatsbegriff der Montevideo-Konvention von 1933/34.</w:t>
      </w:r>
    </w:p>
    <w:p w14:paraId="7E73DC1D" w14:textId="77777777" w:rsidR="00D91377" w:rsidRPr="00D91377" w:rsidRDefault="00D91377" w:rsidP="00D91377">
      <w:pPr>
        <w:rPr>
          <w:rFonts w:ascii="Tahoma" w:eastAsia="Aptos" w:hAnsi="Tahoma" w:cs="Tahoma"/>
          <w:color w:val="0070C0"/>
          <w:sz w:val="22"/>
          <w:szCs w:val="22"/>
        </w:rPr>
      </w:pPr>
      <w:hyperlink r:id="rId12">
        <w:r w:rsidRPr="00D91377">
          <w:rPr>
            <w:rStyle w:val="Hyperlink"/>
            <w:rFonts w:ascii="Tahoma" w:eastAsia="Aptos" w:hAnsi="Tahoma" w:cs="Tahoma"/>
            <w:color w:val="0070C0"/>
            <w:sz w:val="22"/>
            <w:szCs w:val="22"/>
          </w:rPr>
          <w:t>https://www.ilsa.org/Jessup/Jessup15/Montevideo%20Convention.pdf</w:t>
        </w:r>
      </w:hyperlink>
    </w:p>
    <w:p w14:paraId="3DD045B6" w14:textId="77777777" w:rsidR="00D91377" w:rsidRPr="00D91377" w:rsidRDefault="00D91377" w:rsidP="00D91377">
      <w:pPr>
        <w:rPr>
          <w:rFonts w:ascii="Tahoma" w:eastAsia="Aptos" w:hAnsi="Tahoma" w:cs="Tahoma"/>
          <w:color w:val="000000" w:themeColor="text1"/>
          <w:sz w:val="22"/>
          <w:szCs w:val="22"/>
        </w:rPr>
      </w:pPr>
      <w:r w:rsidRPr="00D91377">
        <w:rPr>
          <w:rFonts w:ascii="Tahoma" w:eastAsia="Aptos" w:hAnsi="Tahoma" w:cs="Tahoma"/>
          <w:color w:val="000000" w:themeColor="text1"/>
          <w:sz w:val="22"/>
          <w:szCs w:val="22"/>
        </w:rPr>
        <w:t>In Artikel 1 werden die Voraussetzungen für einen Staat als Rechtsperson des Völkerrechts aufgeführt, unter anderem eine “permanent population”. Im Beitrag wurde deutlich gemacht, dass diese Voraussetzung für einen eigenständigen palästinensischen Staat erfüllt sind. Dies sei weitgehend “unumstritten”.</w:t>
      </w:r>
    </w:p>
    <w:p w14:paraId="7A0F36A6" w14:textId="77777777" w:rsidR="00D91377" w:rsidRPr="00D91377" w:rsidRDefault="00D91377" w:rsidP="00D91377">
      <w:pPr>
        <w:rPr>
          <w:rFonts w:ascii="Tahoma" w:eastAsia="Aptos" w:hAnsi="Tahoma" w:cs="Tahoma"/>
          <w:color w:val="000000" w:themeColor="text1"/>
          <w:sz w:val="22"/>
          <w:szCs w:val="22"/>
        </w:rPr>
      </w:pPr>
    </w:p>
    <w:p w14:paraId="34B06ED9" w14:textId="77777777" w:rsidR="00D91377" w:rsidRPr="00D91377" w:rsidRDefault="00D91377" w:rsidP="00D91377">
      <w:pPr>
        <w:rPr>
          <w:rFonts w:ascii="Tahoma" w:eastAsia="Aptos" w:hAnsi="Tahoma" w:cs="Tahoma"/>
          <w:color w:val="000000" w:themeColor="text1"/>
          <w:sz w:val="22"/>
          <w:szCs w:val="22"/>
        </w:rPr>
      </w:pPr>
      <w:r w:rsidRPr="00D91377">
        <w:rPr>
          <w:rFonts w:ascii="Tahoma" w:eastAsia="Aptos" w:hAnsi="Tahoma" w:cs="Tahoma"/>
          <w:color w:val="000000" w:themeColor="text1"/>
          <w:sz w:val="22"/>
          <w:szCs w:val="22"/>
          <w:u w:val="single"/>
        </w:rPr>
        <w:t>Staatsgebiet</w:t>
      </w:r>
    </w:p>
    <w:p w14:paraId="6F994E13" w14:textId="7DE5DDAC" w:rsidR="00D91377" w:rsidRPr="00D91377" w:rsidRDefault="00D91377" w:rsidP="00D91377">
      <w:pPr>
        <w:rPr>
          <w:rFonts w:ascii="Tahoma" w:eastAsia="Aptos" w:hAnsi="Tahoma" w:cs="Tahoma"/>
          <w:color w:val="000000" w:themeColor="text1"/>
          <w:sz w:val="22"/>
          <w:szCs w:val="22"/>
        </w:rPr>
      </w:pPr>
      <w:r w:rsidRPr="00D91377">
        <w:rPr>
          <w:rFonts w:ascii="Tahoma" w:eastAsia="Aptos" w:hAnsi="Tahoma" w:cs="Tahoma"/>
          <w:color w:val="000000" w:themeColor="text1"/>
          <w:sz w:val="22"/>
          <w:szCs w:val="22"/>
        </w:rPr>
        <w:t>Der Bericht erläutert, dass die zweite Voraussetzung, nämlich das Staatsgebiet, in der politischen Diskussion und Auseinandersetzung umstritten ist. Das Mandatsgebiet Grossbritanniens nach dem Ende des Osmanischen Reiches, also Palästina, umfasste all jene Gebiete, aus denen später der Staat Israel hervorging, au</w:t>
      </w:r>
      <w:r w:rsidR="005C4118">
        <w:rPr>
          <w:rFonts w:ascii="Tahoma" w:eastAsia="Aptos" w:hAnsi="Tahoma" w:cs="Tahoma"/>
          <w:color w:val="000000" w:themeColor="text1"/>
          <w:sz w:val="22"/>
          <w:szCs w:val="22"/>
        </w:rPr>
        <w:t>ss</w:t>
      </w:r>
      <w:r w:rsidRPr="00D91377">
        <w:rPr>
          <w:rFonts w:ascii="Tahoma" w:eastAsia="Aptos" w:hAnsi="Tahoma" w:cs="Tahoma"/>
          <w:color w:val="000000" w:themeColor="text1"/>
          <w:sz w:val="22"/>
          <w:szCs w:val="22"/>
        </w:rPr>
        <w:t>erdem den Gazastreifen, das Westjordanland, Teile der Golanhöhen sowie das Königreich Transjordanien.</w:t>
      </w:r>
    </w:p>
    <w:p w14:paraId="67552789" w14:textId="77777777" w:rsidR="00D91377" w:rsidRPr="00D91377" w:rsidRDefault="00D91377" w:rsidP="00D91377">
      <w:pPr>
        <w:rPr>
          <w:rFonts w:ascii="Tahoma" w:eastAsia="Aptos" w:hAnsi="Tahoma" w:cs="Tahoma"/>
          <w:color w:val="000000" w:themeColor="text1"/>
          <w:sz w:val="22"/>
          <w:szCs w:val="22"/>
        </w:rPr>
      </w:pPr>
      <w:r w:rsidRPr="00D91377">
        <w:rPr>
          <w:rFonts w:ascii="Tahoma" w:eastAsia="Aptos" w:hAnsi="Tahoma" w:cs="Tahoma"/>
          <w:color w:val="000000" w:themeColor="text1"/>
          <w:sz w:val="22"/>
          <w:szCs w:val="22"/>
        </w:rPr>
        <w:t xml:space="preserve">Im Beitrag heisst es, dass viele Palästinenser eine Region beanspruchen würden, die sie aufgrund der historischen Besiedlung als vom Fluss Jordan bis zum Mittelmeer reichend sehen. So haben es auch die allermeisten arabischen Staaten gesehen, welche den Teilungsplan der UNO von 1947 ablehnten und den neu gegründeten Staat Israel nicht anerkannten. Es folgten mehrere Kriege (1947/48/49, 1956, 1967 und 1973). </w:t>
      </w:r>
    </w:p>
    <w:p w14:paraId="48DA9DB1" w14:textId="77777777" w:rsidR="00D91377" w:rsidRPr="00D91377" w:rsidRDefault="00D91377" w:rsidP="00D91377">
      <w:pPr>
        <w:rPr>
          <w:rFonts w:ascii="Tahoma" w:eastAsia="Aptos" w:hAnsi="Tahoma" w:cs="Tahoma"/>
          <w:color w:val="000000" w:themeColor="text1"/>
          <w:sz w:val="22"/>
          <w:szCs w:val="22"/>
        </w:rPr>
      </w:pPr>
      <w:r w:rsidRPr="00D91377">
        <w:rPr>
          <w:rFonts w:ascii="Tahoma" w:eastAsia="Aptos" w:hAnsi="Tahoma" w:cs="Tahoma"/>
          <w:color w:val="000000" w:themeColor="text1"/>
          <w:sz w:val="22"/>
          <w:szCs w:val="22"/>
        </w:rPr>
        <w:t>Im Zusammenhang mit der Frage des Staatsgebietes sind zwei Ereignisse von Bedeutung: Erstens: im Sechs-Tage-Krieg von 1967 eroberte Israel den Gazastreifen und das Westjordanland mit dem Ostteil der Stadt Jerusalem; also alle Gebiete, die im Zusammenhang mit einem Staatsgebiet für die Palästinenser relevant sind. Zweitens: im Oslo-Friedensprozess wird ein Grossteil des von Israel seit 1967 besetzten Gebietes für einen palästinensischen Staat erwähnt. Dieser Friedensprozess scheiterte an extremistischen Forderungen beider Seiten, wie der Beitrag sachlich festhält. Der Beitrag macht dann eine klare Aussage zum Staatsgebiet des palästinensischen Staates (TC 09:54) “Trotzdem dienen das Westjordanland, Gaza und Ostjerusalem seither als geografische Orientierungshilfe für eine mögliche Zweistaatenlösung.” Diese Sicht bestätigt auch der Völkerrechtler, wenn er sagt, dass eine Anerkennung des Staates Palästina die Anerkennung dieser drei Gebiete als Staatsgebiet gemeint sei.</w:t>
      </w:r>
    </w:p>
    <w:p w14:paraId="05E070DC" w14:textId="77777777" w:rsidR="00D91377" w:rsidRPr="00D91377" w:rsidRDefault="00D91377" w:rsidP="00D91377">
      <w:pPr>
        <w:rPr>
          <w:rFonts w:ascii="Tahoma" w:eastAsia="Aptos" w:hAnsi="Tahoma" w:cs="Tahoma"/>
          <w:color w:val="000000" w:themeColor="text1"/>
          <w:sz w:val="22"/>
          <w:szCs w:val="22"/>
        </w:rPr>
      </w:pPr>
      <w:r w:rsidRPr="00D91377">
        <w:rPr>
          <w:rFonts w:ascii="Tahoma" w:eastAsia="Aptos" w:hAnsi="Tahoma" w:cs="Tahoma"/>
          <w:color w:val="000000" w:themeColor="text1"/>
          <w:sz w:val="22"/>
          <w:szCs w:val="22"/>
        </w:rPr>
        <w:t>Im Gegensatz zur Ansicht der Beanstanderin werden aus unserer Sicht, die legitimen Forderungen” der Palästinenser nicht als Bedrohung dargestellt. Im Beitrag wird explizit (TC 09:20) von “Jahrzehnten der Kriege, Vertreibung, des Terrors und der Grenzverschiebungen” gesprochen. Es ist richtig, im Beitrag werden nicht alle Aspekte des Konflikts dargestellt. Die Situation im Westjordanland, insbesondere der Ausbau israelischer Siedlungen, ist aber immer wieder Thema bei SRF, Wir verweisen auf den aktuellen Newsticker zu Nahost, mit aktuellen Beispielen. Es wird über die Siedlungspläne des israelischen Ministers Bezalel Smotrich berichtet</w:t>
      </w:r>
    </w:p>
    <w:p w14:paraId="0E566E6F" w14:textId="77777777" w:rsidR="00D91377" w:rsidRPr="00D91377" w:rsidRDefault="00D91377" w:rsidP="00D91377">
      <w:pPr>
        <w:rPr>
          <w:rFonts w:ascii="Tahoma" w:eastAsia="Aptos" w:hAnsi="Tahoma" w:cs="Tahoma"/>
          <w:color w:val="0070C0"/>
          <w:sz w:val="22"/>
          <w:szCs w:val="22"/>
        </w:rPr>
      </w:pPr>
      <w:hyperlink r:id="rId13">
        <w:r w:rsidRPr="00D91377">
          <w:rPr>
            <w:rStyle w:val="Hyperlink"/>
            <w:rFonts w:ascii="Tahoma" w:eastAsia="Aptos" w:hAnsi="Tahoma" w:cs="Tahoma"/>
            <w:color w:val="0070C0"/>
            <w:sz w:val="22"/>
            <w:szCs w:val="22"/>
          </w:rPr>
          <w:t>https://www.srf.ch/news/international/nahost/die-lage-im-ueberblick-krieg-im-nahen-osten-das-passiert-aktuell-22</w:t>
        </w:r>
      </w:hyperlink>
    </w:p>
    <w:p w14:paraId="24D748E1" w14:textId="77777777" w:rsidR="00D91377" w:rsidRPr="00D91377" w:rsidRDefault="00D91377" w:rsidP="00D91377">
      <w:pPr>
        <w:rPr>
          <w:rFonts w:ascii="Tahoma" w:eastAsia="Aptos" w:hAnsi="Tahoma" w:cs="Tahoma"/>
          <w:color w:val="000000" w:themeColor="text1"/>
          <w:sz w:val="22"/>
          <w:szCs w:val="22"/>
        </w:rPr>
      </w:pPr>
      <w:r w:rsidRPr="00D91377">
        <w:rPr>
          <w:rFonts w:ascii="Tahoma" w:eastAsia="Aptos" w:hAnsi="Tahoma" w:cs="Tahoma"/>
          <w:color w:val="000000" w:themeColor="text1"/>
          <w:sz w:val="22"/>
          <w:szCs w:val="22"/>
        </w:rPr>
        <w:t>Oder der Angriff auf eine Saatgutbank in der Westbank wird thematisiert.</w:t>
      </w:r>
    </w:p>
    <w:p w14:paraId="7213AE2F" w14:textId="77777777" w:rsidR="00D91377" w:rsidRPr="00D91377" w:rsidRDefault="00D91377" w:rsidP="00D91377">
      <w:pPr>
        <w:rPr>
          <w:rFonts w:ascii="Tahoma" w:eastAsia="Aptos" w:hAnsi="Tahoma" w:cs="Tahoma"/>
          <w:color w:val="0070C0"/>
          <w:sz w:val="22"/>
          <w:szCs w:val="22"/>
        </w:rPr>
      </w:pPr>
      <w:hyperlink r:id="rId14">
        <w:r w:rsidRPr="00D91377">
          <w:rPr>
            <w:rStyle w:val="Hyperlink"/>
            <w:rFonts w:ascii="Tahoma" w:eastAsia="Aptos" w:hAnsi="Tahoma" w:cs="Tahoma"/>
            <w:color w:val="0070C0"/>
            <w:sz w:val="22"/>
            <w:szCs w:val="22"/>
          </w:rPr>
          <w:t>https://www.srf.ch/news/international/lebensmittel-im-nahen-osten-israels-armee-zerstoert-palaestinensische-saatgutbank</w:t>
        </w:r>
      </w:hyperlink>
    </w:p>
    <w:p w14:paraId="3ACA760F" w14:textId="77777777" w:rsidR="008A19CD" w:rsidRDefault="008A19CD" w:rsidP="00D91377">
      <w:pPr>
        <w:rPr>
          <w:rFonts w:ascii="Tahoma" w:eastAsia="Aptos" w:hAnsi="Tahoma" w:cs="Tahoma"/>
          <w:color w:val="000000" w:themeColor="text1"/>
          <w:sz w:val="22"/>
          <w:szCs w:val="22"/>
        </w:rPr>
      </w:pPr>
    </w:p>
    <w:p w14:paraId="5ADA127B" w14:textId="77777777" w:rsidR="008A19CD" w:rsidRDefault="008A19CD" w:rsidP="00D91377">
      <w:pPr>
        <w:rPr>
          <w:rFonts w:ascii="Tahoma" w:eastAsia="Aptos" w:hAnsi="Tahoma" w:cs="Tahoma"/>
          <w:color w:val="000000" w:themeColor="text1"/>
          <w:sz w:val="22"/>
          <w:szCs w:val="22"/>
        </w:rPr>
      </w:pPr>
    </w:p>
    <w:p w14:paraId="780E4818" w14:textId="0420012F" w:rsidR="00D91377" w:rsidRPr="00D91377" w:rsidRDefault="00D91377" w:rsidP="00D91377">
      <w:pPr>
        <w:rPr>
          <w:rFonts w:ascii="Tahoma" w:eastAsia="Aptos" w:hAnsi="Tahoma" w:cs="Tahoma"/>
          <w:color w:val="000000" w:themeColor="text1"/>
          <w:sz w:val="22"/>
          <w:szCs w:val="22"/>
        </w:rPr>
      </w:pPr>
      <w:r w:rsidRPr="00D91377">
        <w:rPr>
          <w:rFonts w:ascii="Tahoma" w:eastAsia="Aptos" w:hAnsi="Tahoma" w:cs="Tahoma"/>
          <w:color w:val="000000" w:themeColor="text1"/>
          <w:sz w:val="22"/>
          <w:szCs w:val="22"/>
        </w:rPr>
        <w:lastRenderedPageBreak/>
        <w:t>Wir verweisen weitern auf einen Beitrag in der Sendung 10vor10 vom 29. Juli 2025, in dem der wachsende Einfluss der Siedler-Bewegung in Israel thematisiert wird (TC 08:25). In diesem Beitrag wird die Schaffung von neuen Siedlungen in der Westbank als völkerrechtwidrig bezeichnet.</w:t>
      </w:r>
    </w:p>
    <w:p w14:paraId="56F0A6D8" w14:textId="77777777" w:rsidR="00D91377" w:rsidRPr="00D91377" w:rsidRDefault="00D91377" w:rsidP="00D91377">
      <w:pPr>
        <w:rPr>
          <w:rFonts w:ascii="Tahoma" w:eastAsia="Aptos" w:hAnsi="Tahoma" w:cs="Tahoma"/>
          <w:color w:val="0070C0"/>
          <w:sz w:val="22"/>
          <w:szCs w:val="22"/>
        </w:rPr>
      </w:pPr>
      <w:hyperlink r:id="rId15">
        <w:r w:rsidRPr="00D91377">
          <w:rPr>
            <w:rStyle w:val="Hyperlink"/>
            <w:rFonts w:ascii="Tahoma" w:eastAsia="Aptos" w:hAnsi="Tahoma" w:cs="Tahoma"/>
            <w:color w:val="0070C0"/>
            <w:sz w:val="22"/>
            <w:szCs w:val="22"/>
          </w:rPr>
          <w:t>10 vor 10 vom 29.07.2025 - Play SRF</w:t>
        </w:r>
      </w:hyperlink>
    </w:p>
    <w:p w14:paraId="693D9C7C" w14:textId="77777777" w:rsidR="00D91377" w:rsidRPr="00D91377" w:rsidRDefault="00D91377" w:rsidP="00D91377">
      <w:pPr>
        <w:rPr>
          <w:rFonts w:ascii="Tahoma" w:eastAsia="Aptos" w:hAnsi="Tahoma" w:cs="Tahoma"/>
          <w:color w:val="000000" w:themeColor="text1"/>
          <w:sz w:val="22"/>
          <w:szCs w:val="22"/>
        </w:rPr>
      </w:pPr>
      <w:r w:rsidRPr="00D91377">
        <w:rPr>
          <w:rFonts w:ascii="Tahoma" w:eastAsia="Aptos" w:hAnsi="Tahoma" w:cs="Tahoma"/>
          <w:color w:val="000000" w:themeColor="text1"/>
          <w:sz w:val="22"/>
          <w:szCs w:val="22"/>
        </w:rPr>
        <w:t>Wir verweisen weiter auf einen Bericht in der Sendung 10vor10 vom 26. Juni 2025, in dem der Konflikt im Westjordanland breit thematisiert wird (TC  05:19)</w:t>
      </w:r>
    </w:p>
    <w:p w14:paraId="7BA93016" w14:textId="77777777" w:rsidR="00D91377" w:rsidRPr="00D91377" w:rsidRDefault="00D91377" w:rsidP="00D91377">
      <w:pPr>
        <w:rPr>
          <w:rFonts w:ascii="Tahoma" w:eastAsia="Aptos" w:hAnsi="Tahoma" w:cs="Tahoma"/>
          <w:color w:val="0070C0"/>
          <w:sz w:val="22"/>
          <w:szCs w:val="22"/>
        </w:rPr>
      </w:pPr>
      <w:hyperlink r:id="rId16">
        <w:r w:rsidRPr="00D91377">
          <w:rPr>
            <w:rStyle w:val="Hyperlink"/>
            <w:rFonts w:ascii="Tahoma" w:eastAsia="Aptos" w:hAnsi="Tahoma" w:cs="Tahoma"/>
            <w:color w:val="0070C0"/>
            <w:sz w:val="22"/>
            <w:szCs w:val="22"/>
          </w:rPr>
          <w:t>10 vor 10 vom 26.06.2025 - Play SRF</w:t>
        </w:r>
      </w:hyperlink>
    </w:p>
    <w:p w14:paraId="2CA84F3D" w14:textId="77777777" w:rsidR="00D91377" w:rsidRPr="00D91377" w:rsidRDefault="00D91377" w:rsidP="00D91377">
      <w:pPr>
        <w:rPr>
          <w:rFonts w:ascii="Tahoma" w:eastAsia="Aptos" w:hAnsi="Tahoma" w:cs="Tahoma"/>
          <w:color w:val="000000" w:themeColor="text1"/>
          <w:sz w:val="22"/>
          <w:szCs w:val="22"/>
        </w:rPr>
      </w:pPr>
    </w:p>
    <w:p w14:paraId="4FF4A349" w14:textId="77777777" w:rsidR="00D91377" w:rsidRPr="00D91377" w:rsidRDefault="00D91377" w:rsidP="00D91377">
      <w:pPr>
        <w:rPr>
          <w:rFonts w:ascii="Tahoma" w:eastAsia="Aptos" w:hAnsi="Tahoma" w:cs="Tahoma"/>
          <w:color w:val="000000" w:themeColor="text1"/>
          <w:sz w:val="22"/>
          <w:szCs w:val="22"/>
        </w:rPr>
      </w:pPr>
      <w:r w:rsidRPr="00D91377">
        <w:rPr>
          <w:rFonts w:ascii="Tahoma" w:eastAsia="Aptos" w:hAnsi="Tahoma" w:cs="Tahoma"/>
          <w:color w:val="000000" w:themeColor="text1"/>
          <w:sz w:val="22"/>
          <w:szCs w:val="22"/>
          <w:u w:val="single"/>
        </w:rPr>
        <w:t>Staatsgewalt</w:t>
      </w:r>
    </w:p>
    <w:p w14:paraId="77291656" w14:textId="77777777" w:rsidR="00D91377" w:rsidRPr="00D91377" w:rsidRDefault="00D91377" w:rsidP="00D91377">
      <w:pPr>
        <w:rPr>
          <w:rFonts w:ascii="Tahoma" w:eastAsia="Aptos" w:hAnsi="Tahoma" w:cs="Tahoma"/>
          <w:color w:val="000000" w:themeColor="text1"/>
          <w:sz w:val="22"/>
          <w:szCs w:val="22"/>
        </w:rPr>
      </w:pPr>
      <w:r w:rsidRPr="00D91377">
        <w:rPr>
          <w:rFonts w:ascii="Tahoma" w:eastAsia="Aptos" w:hAnsi="Tahoma" w:cs="Tahoma"/>
          <w:color w:val="000000" w:themeColor="text1"/>
          <w:sz w:val="22"/>
          <w:szCs w:val="22"/>
        </w:rPr>
        <w:t>Im Abschnitt über das dritte Element der staatlichen Souveränität, der Staatsgewalt, beleuchtet der Beitrag die innerpalästinensischen staatlichen Strukturen.  Der Beitrag berichtet über die Fakten seit den letzten Wahlen vor 20 Jahren.  Er macht aber auch klar, dass der Aufbau palästinensischer staatlicher Strukturen von Israel beeinträchtigt wird (TC 10.55), wörtlich: “Zudem machten ihr die israelischen Besatzer das Gewaltmonopol immer strittiger.”  Die Staatsgewalt als Voraussetzung für die Realisierung eines Staates Palästina wird von der Besatzungsmacht immer stärker in Frage gestellt; bis hin zur Ankündigung, eine Zweistaatenlösung definitiv zu verhindern.</w:t>
      </w:r>
    </w:p>
    <w:p w14:paraId="7E4AD3E1" w14:textId="77777777" w:rsidR="00D91377" w:rsidRPr="00D91377" w:rsidRDefault="00D91377" w:rsidP="00D91377">
      <w:pPr>
        <w:rPr>
          <w:rFonts w:ascii="Tahoma" w:eastAsia="Aptos" w:hAnsi="Tahoma" w:cs="Tahoma"/>
          <w:color w:val="000000" w:themeColor="text1"/>
          <w:sz w:val="22"/>
          <w:szCs w:val="22"/>
        </w:rPr>
      </w:pPr>
    </w:p>
    <w:p w14:paraId="17AF5BA6" w14:textId="77777777" w:rsidR="00D91377" w:rsidRPr="00D91377" w:rsidRDefault="00D91377" w:rsidP="00D91377">
      <w:pPr>
        <w:rPr>
          <w:rFonts w:ascii="Tahoma" w:eastAsia="Aptos" w:hAnsi="Tahoma" w:cs="Tahoma"/>
          <w:color w:val="000000" w:themeColor="text1"/>
          <w:sz w:val="22"/>
          <w:szCs w:val="22"/>
        </w:rPr>
      </w:pPr>
      <w:r w:rsidRPr="00D91377">
        <w:rPr>
          <w:rFonts w:ascii="Tahoma" w:eastAsia="Aptos" w:hAnsi="Tahoma" w:cs="Tahoma"/>
          <w:color w:val="000000" w:themeColor="text1"/>
          <w:sz w:val="22"/>
          <w:szCs w:val="22"/>
          <w:u w:val="single"/>
        </w:rPr>
        <w:t>Internationale Anerkennung</w:t>
      </w:r>
    </w:p>
    <w:p w14:paraId="3D5B9AFD" w14:textId="77777777" w:rsidR="00D91377" w:rsidRPr="00D91377" w:rsidRDefault="00D91377" w:rsidP="00D91377">
      <w:pPr>
        <w:rPr>
          <w:rFonts w:ascii="Tahoma" w:eastAsia="Aptos" w:hAnsi="Tahoma" w:cs="Tahoma"/>
          <w:color w:val="000000" w:themeColor="text1"/>
          <w:sz w:val="22"/>
          <w:szCs w:val="22"/>
        </w:rPr>
      </w:pPr>
      <w:r w:rsidRPr="00D91377">
        <w:rPr>
          <w:rFonts w:ascii="Tahoma" w:eastAsia="Aptos" w:hAnsi="Tahoma" w:cs="Tahoma"/>
          <w:color w:val="000000" w:themeColor="text1"/>
          <w:sz w:val="22"/>
          <w:szCs w:val="22"/>
        </w:rPr>
        <w:t>Die Beanstanderin kritisiert die Formulierung, Frankreich sei das erste wichtige Land, das Palästina anerkenne. Sie verweist in diesem Zusammenhang auf Länder wie Spanien oder Schweden.</w:t>
      </w:r>
    </w:p>
    <w:p w14:paraId="7E55B1C6" w14:textId="77777777" w:rsidR="00D91377" w:rsidRPr="00D91377" w:rsidRDefault="00D91377" w:rsidP="00D91377">
      <w:pPr>
        <w:rPr>
          <w:rFonts w:ascii="Tahoma" w:eastAsia="Aptos" w:hAnsi="Tahoma" w:cs="Tahoma"/>
          <w:color w:val="000000" w:themeColor="text1"/>
          <w:sz w:val="22"/>
          <w:szCs w:val="22"/>
        </w:rPr>
      </w:pPr>
      <w:r w:rsidRPr="00D91377">
        <w:rPr>
          <w:rFonts w:ascii="Tahoma" w:eastAsia="Aptos" w:hAnsi="Tahoma" w:cs="Tahoma"/>
          <w:color w:val="000000" w:themeColor="text1"/>
          <w:sz w:val="22"/>
          <w:szCs w:val="22"/>
        </w:rPr>
        <w:t>Über die Wichtigkeit einzelner Staaten innerhalb der Staatengemeinschaft kann man unterschiedlicher Ansicht sein. Wir verweisen aber auf folgende Fakten: Frankreich ist ständiges Mitglied des UNO-Sicherheitsrates (neben USA, Grossbritannien, Russland und China); es verfügt daher über ein Vetorecht im Sicherheitsrat. Frankreich ist Teil der G7, eines Zusammenschlusses führender Industrienationen, die sich regelmässig zu globalen Wirtschafts- und Krisenthemen austauschen.</w:t>
      </w:r>
    </w:p>
    <w:p w14:paraId="3891FF47" w14:textId="7675F8FB" w:rsidR="00D91377" w:rsidRPr="00D91377" w:rsidRDefault="00D91377" w:rsidP="00D91377">
      <w:pPr>
        <w:rPr>
          <w:rFonts w:ascii="Tahoma" w:eastAsia="Aptos" w:hAnsi="Tahoma" w:cs="Tahoma"/>
          <w:color w:val="000000" w:themeColor="text1"/>
          <w:sz w:val="22"/>
          <w:szCs w:val="22"/>
        </w:rPr>
      </w:pPr>
      <w:r w:rsidRPr="00D91377">
        <w:rPr>
          <w:rFonts w:ascii="Tahoma" w:eastAsia="Aptos" w:hAnsi="Tahoma" w:cs="Tahoma"/>
          <w:color w:val="000000" w:themeColor="text1"/>
          <w:sz w:val="22"/>
          <w:szCs w:val="22"/>
        </w:rPr>
        <w:t>Die Formulierung, Frankreich sei “das erste mächtige westliche Land”, das Palästina als Staat anerkenne, ist aufgrund der obigen Fakten, belegt und gerechtfertigt. Die Formulierung ist aus unserer Sicht daher nicht “sachlich falsch”, wie die Beans</w:t>
      </w:r>
      <w:r w:rsidR="005C4118">
        <w:rPr>
          <w:rFonts w:ascii="Tahoma" w:eastAsia="Aptos" w:hAnsi="Tahoma" w:cs="Tahoma"/>
          <w:color w:val="000000" w:themeColor="text1"/>
          <w:sz w:val="22"/>
          <w:szCs w:val="22"/>
        </w:rPr>
        <w:t>t</w:t>
      </w:r>
      <w:r w:rsidRPr="00D91377">
        <w:rPr>
          <w:rFonts w:ascii="Tahoma" w:eastAsia="Aptos" w:hAnsi="Tahoma" w:cs="Tahoma"/>
          <w:color w:val="000000" w:themeColor="text1"/>
          <w:sz w:val="22"/>
          <w:szCs w:val="22"/>
        </w:rPr>
        <w:t>anderin kritisiert.</w:t>
      </w:r>
    </w:p>
    <w:p w14:paraId="53FB147E" w14:textId="77777777" w:rsidR="00D91377" w:rsidRPr="00D91377" w:rsidRDefault="00D91377" w:rsidP="00D91377">
      <w:pPr>
        <w:rPr>
          <w:rFonts w:ascii="Tahoma" w:eastAsia="Aptos" w:hAnsi="Tahoma" w:cs="Tahoma"/>
          <w:color w:val="000000" w:themeColor="text1"/>
          <w:sz w:val="22"/>
          <w:szCs w:val="22"/>
        </w:rPr>
      </w:pPr>
    </w:p>
    <w:p w14:paraId="624E0D79" w14:textId="77777777" w:rsidR="00D91377" w:rsidRPr="00D91377" w:rsidRDefault="00D91377" w:rsidP="00D91377">
      <w:pPr>
        <w:rPr>
          <w:rFonts w:ascii="Tahoma" w:eastAsia="Aptos" w:hAnsi="Tahoma" w:cs="Tahoma"/>
          <w:color w:val="000000" w:themeColor="text1"/>
          <w:sz w:val="22"/>
          <w:szCs w:val="22"/>
        </w:rPr>
      </w:pPr>
      <w:r w:rsidRPr="00D91377">
        <w:rPr>
          <w:rFonts w:ascii="Tahoma" w:eastAsia="Aptos" w:hAnsi="Tahoma" w:cs="Tahoma"/>
          <w:color w:val="000000" w:themeColor="text1"/>
          <w:sz w:val="22"/>
          <w:szCs w:val="22"/>
          <w:u w:val="single"/>
        </w:rPr>
        <w:t>Völkerrechtliche Einschätzungen</w:t>
      </w:r>
    </w:p>
    <w:p w14:paraId="6767C3C8" w14:textId="77777777" w:rsidR="00D91377" w:rsidRPr="00D91377" w:rsidRDefault="00D91377" w:rsidP="00D91377">
      <w:pPr>
        <w:rPr>
          <w:rFonts w:ascii="Tahoma" w:eastAsia="Aptos" w:hAnsi="Tahoma" w:cs="Tahoma"/>
          <w:color w:val="000000" w:themeColor="text1"/>
          <w:sz w:val="22"/>
          <w:szCs w:val="22"/>
        </w:rPr>
      </w:pPr>
      <w:r w:rsidRPr="00D91377">
        <w:rPr>
          <w:rFonts w:ascii="Tahoma" w:eastAsia="Aptos" w:hAnsi="Tahoma" w:cs="Tahoma"/>
          <w:color w:val="000000" w:themeColor="text1"/>
          <w:sz w:val="22"/>
          <w:szCs w:val="22"/>
        </w:rPr>
        <w:t>Der Beitrag hat einen klaren Fokus, nämlich die Frage nach der Staatlichkeit Palästinas aus Anlass der angekündigten Anerkennung Palästinas als Staat durch Frankreich. Wie die Beanstanderin richtig feststellt, kann in einem 3-Minuten-Beitrag die ganze Komplexität des Nahostkonflikts nicht dargestellt werden.</w:t>
      </w:r>
    </w:p>
    <w:p w14:paraId="12CEADEB" w14:textId="77777777" w:rsidR="00D91377" w:rsidRPr="00D91377" w:rsidRDefault="00D91377" w:rsidP="00D91377">
      <w:pPr>
        <w:rPr>
          <w:rFonts w:ascii="Tahoma" w:eastAsia="Aptos" w:hAnsi="Tahoma" w:cs="Tahoma"/>
          <w:color w:val="000000" w:themeColor="text1"/>
          <w:sz w:val="22"/>
          <w:szCs w:val="22"/>
        </w:rPr>
      </w:pPr>
      <w:r w:rsidRPr="00D91377">
        <w:rPr>
          <w:rFonts w:ascii="Tahoma" w:eastAsia="Aptos" w:hAnsi="Tahoma" w:cs="Tahoma"/>
          <w:color w:val="000000" w:themeColor="text1"/>
          <w:sz w:val="22"/>
          <w:szCs w:val="22"/>
        </w:rPr>
        <w:t xml:space="preserve">SRF hat in der Vergangenheit immer wieder über die Positionen des Internationalen Gerichtshofes oder die Einschätzungen von Nichtregierungsorganisationen berichtet. </w:t>
      </w:r>
    </w:p>
    <w:p w14:paraId="1DF2D72E" w14:textId="77777777" w:rsidR="00D91377" w:rsidRPr="00D91377" w:rsidRDefault="00D91377" w:rsidP="00D91377">
      <w:pPr>
        <w:rPr>
          <w:rFonts w:ascii="Tahoma" w:eastAsia="Aptos" w:hAnsi="Tahoma" w:cs="Tahoma"/>
          <w:color w:val="000000" w:themeColor="text1"/>
          <w:sz w:val="22"/>
          <w:szCs w:val="22"/>
        </w:rPr>
      </w:pPr>
      <w:r w:rsidRPr="00D91377">
        <w:rPr>
          <w:rFonts w:ascii="Tahoma" w:eastAsia="Aptos" w:hAnsi="Tahoma" w:cs="Tahoma"/>
          <w:color w:val="000000" w:themeColor="text1"/>
          <w:sz w:val="22"/>
          <w:szCs w:val="22"/>
        </w:rPr>
        <w:t xml:space="preserve">Die Völkerrechtswidrigkeit des Siedlungsbaus ist immer wieder Thema (siehe Beispiele im Abschnitt “Staatsgebiet”). </w:t>
      </w:r>
    </w:p>
    <w:p w14:paraId="0835CC24" w14:textId="77777777" w:rsidR="00D91377" w:rsidRDefault="00D91377" w:rsidP="00D91377">
      <w:pPr>
        <w:rPr>
          <w:rFonts w:ascii="Tahoma" w:eastAsia="Aptos" w:hAnsi="Tahoma" w:cs="Tahoma"/>
          <w:color w:val="000000" w:themeColor="text1"/>
          <w:sz w:val="22"/>
          <w:szCs w:val="22"/>
        </w:rPr>
      </w:pPr>
    </w:p>
    <w:p w14:paraId="61563ACF" w14:textId="77777777" w:rsidR="008A19CD" w:rsidRPr="00D91377" w:rsidRDefault="008A19CD" w:rsidP="00D91377">
      <w:pPr>
        <w:rPr>
          <w:rFonts w:ascii="Tahoma" w:eastAsia="Aptos" w:hAnsi="Tahoma" w:cs="Tahoma"/>
          <w:color w:val="000000" w:themeColor="text1"/>
          <w:sz w:val="22"/>
          <w:szCs w:val="22"/>
        </w:rPr>
      </w:pPr>
    </w:p>
    <w:p w14:paraId="12E53F0C" w14:textId="77777777" w:rsidR="00D91377" w:rsidRPr="00D91377" w:rsidRDefault="00D91377" w:rsidP="00D91377">
      <w:pPr>
        <w:rPr>
          <w:rFonts w:ascii="Tahoma" w:eastAsia="Aptos" w:hAnsi="Tahoma" w:cs="Tahoma"/>
          <w:color w:val="000000" w:themeColor="text1"/>
          <w:sz w:val="22"/>
          <w:szCs w:val="22"/>
        </w:rPr>
      </w:pPr>
      <w:r w:rsidRPr="00D91377">
        <w:rPr>
          <w:rFonts w:ascii="Tahoma" w:eastAsia="Aptos" w:hAnsi="Tahoma" w:cs="Tahoma"/>
          <w:color w:val="000000" w:themeColor="text1"/>
          <w:sz w:val="22"/>
          <w:szCs w:val="22"/>
          <w:u w:val="single"/>
        </w:rPr>
        <w:lastRenderedPageBreak/>
        <w:t>Fazit</w:t>
      </w:r>
    </w:p>
    <w:p w14:paraId="7FB06B26" w14:textId="77777777" w:rsidR="00D91377" w:rsidRPr="00D91377" w:rsidRDefault="00D91377" w:rsidP="00D91377">
      <w:pPr>
        <w:rPr>
          <w:rFonts w:ascii="Tahoma" w:eastAsia="Aptos" w:hAnsi="Tahoma" w:cs="Tahoma"/>
          <w:color w:val="000000" w:themeColor="text1"/>
          <w:sz w:val="22"/>
          <w:szCs w:val="22"/>
        </w:rPr>
      </w:pPr>
      <w:r w:rsidRPr="00D91377">
        <w:rPr>
          <w:rFonts w:ascii="Tahoma" w:eastAsia="Aptos" w:hAnsi="Tahoma" w:cs="Tahoma"/>
          <w:color w:val="000000" w:themeColor="text1"/>
          <w:sz w:val="22"/>
          <w:szCs w:val="22"/>
        </w:rPr>
        <w:t xml:space="preserve">Der Beitrag hat die Voraussetzungen für einen Staat Palästina anhand der völkerrechtlichen Voraussetzungen mit einem Völkerrechtler dargestellt und analysiert. Dabei wurden geschichtliche und politische Fakten sachlich einbezogen, insofern sie für die Fragegestellung von Relevanz sind. </w:t>
      </w:r>
    </w:p>
    <w:p w14:paraId="2E0B8F0F" w14:textId="77777777" w:rsidR="00D91377" w:rsidRPr="00D91377" w:rsidRDefault="00D91377" w:rsidP="00D91377">
      <w:pPr>
        <w:rPr>
          <w:rFonts w:ascii="Tahoma" w:eastAsia="Aptos" w:hAnsi="Tahoma" w:cs="Tahoma"/>
          <w:color w:val="000000" w:themeColor="text1"/>
          <w:sz w:val="22"/>
          <w:szCs w:val="22"/>
        </w:rPr>
      </w:pPr>
      <w:r w:rsidRPr="00D91377">
        <w:rPr>
          <w:rFonts w:ascii="Tahoma" w:eastAsia="Aptos" w:hAnsi="Tahoma" w:cs="Tahoma"/>
          <w:color w:val="000000" w:themeColor="text1"/>
          <w:sz w:val="22"/>
          <w:szCs w:val="22"/>
        </w:rPr>
        <w:t>Wir lehnen den Vorwurf der Unausgewogenheit ab. Gleiches gilt für den Vorwurf, die palästinensische Perspektive für die Staatlichkeit delegitimiert zu haben.  Im Gegenteil, der Völkerrechtler spricht die Problematik der fehlenden Staatsgewalt an (TC 08:04): “Das heikle Element ist klar die effektive Staatsgewalt über ein bestimmtes Gebiet. Weil Israel grosse Teile der Westbank, Gaza ohnehin, beherrscht.”</w:t>
      </w:r>
    </w:p>
    <w:p w14:paraId="0C7C0ED7" w14:textId="77777777" w:rsidR="00D91377" w:rsidRPr="00D91377" w:rsidRDefault="00D91377" w:rsidP="00D91377">
      <w:pPr>
        <w:rPr>
          <w:rFonts w:ascii="Tahoma" w:eastAsia="Aptos" w:hAnsi="Tahoma" w:cs="Tahoma"/>
          <w:color w:val="000000" w:themeColor="text1"/>
          <w:sz w:val="22"/>
          <w:szCs w:val="22"/>
        </w:rPr>
      </w:pPr>
      <w:r w:rsidRPr="00D91377">
        <w:rPr>
          <w:rFonts w:ascii="Tahoma" w:eastAsia="Aptos" w:hAnsi="Tahoma" w:cs="Tahoma"/>
          <w:color w:val="000000" w:themeColor="text1"/>
          <w:sz w:val="22"/>
          <w:szCs w:val="22"/>
        </w:rPr>
        <w:t>Der Völkerrechtler begründet sachgerecht die fehlende Staatsgewalt der palästinensischen Behörden über das für einen Staat Palästina relevante Territorium. Es ging in diesem Beitrag nie um Schuld oder Nicht-Schuld.</w:t>
      </w:r>
    </w:p>
    <w:p w14:paraId="0E520029" w14:textId="77777777" w:rsidR="00D91377" w:rsidRPr="00D91377" w:rsidRDefault="00D91377" w:rsidP="00D91377">
      <w:pPr>
        <w:rPr>
          <w:rFonts w:ascii="Tahoma" w:eastAsia="Aptos" w:hAnsi="Tahoma" w:cs="Tahoma"/>
          <w:color w:val="000000" w:themeColor="text1"/>
          <w:sz w:val="22"/>
          <w:szCs w:val="22"/>
        </w:rPr>
      </w:pPr>
    </w:p>
    <w:p w14:paraId="3A28B7CF" w14:textId="06D72980" w:rsidR="00D91377" w:rsidRDefault="005C4118" w:rsidP="00D91377">
      <w:pPr>
        <w:rPr>
          <w:rFonts w:ascii="Tahoma" w:eastAsia="Aptos" w:hAnsi="Tahoma" w:cs="Tahoma"/>
          <w:color w:val="000000" w:themeColor="text1"/>
          <w:sz w:val="22"/>
          <w:szCs w:val="22"/>
        </w:rPr>
      </w:pPr>
      <w:r w:rsidRPr="00747C54">
        <w:rPr>
          <w:rFonts w:ascii="Tahoma" w:eastAsia="Aptos" w:hAnsi="Tahoma" w:cs="Tahoma"/>
          <w:b/>
          <w:bCs/>
          <w:color w:val="000000" w:themeColor="text1"/>
          <w:sz w:val="22"/>
          <w:szCs w:val="22"/>
        </w:rPr>
        <w:t>Die Ombudsstelle</w:t>
      </w:r>
      <w:r>
        <w:rPr>
          <w:rFonts w:ascii="Tahoma" w:eastAsia="Aptos" w:hAnsi="Tahoma" w:cs="Tahoma"/>
          <w:color w:val="000000" w:themeColor="text1"/>
          <w:sz w:val="22"/>
          <w:szCs w:val="22"/>
        </w:rPr>
        <w:t xml:space="preserve"> hält abschliessend fest:</w:t>
      </w:r>
    </w:p>
    <w:p w14:paraId="5B94BC29" w14:textId="77777777" w:rsidR="008A19CD" w:rsidRDefault="008A19CD" w:rsidP="00D91377">
      <w:pPr>
        <w:rPr>
          <w:rFonts w:ascii="Tahoma" w:eastAsia="Aptos" w:hAnsi="Tahoma" w:cs="Tahoma"/>
          <w:color w:val="000000" w:themeColor="text1"/>
          <w:sz w:val="22"/>
          <w:szCs w:val="22"/>
        </w:rPr>
      </w:pPr>
    </w:p>
    <w:p w14:paraId="1A5A4601" w14:textId="77777777" w:rsidR="005C4118" w:rsidRDefault="005C4118" w:rsidP="005C4118">
      <w:pPr>
        <w:rPr>
          <w:rFonts w:ascii="Tahoma" w:eastAsia="Aptos" w:hAnsi="Tahoma" w:cs="Tahoma"/>
          <w:color w:val="000000" w:themeColor="text1"/>
          <w:sz w:val="22"/>
          <w:szCs w:val="22"/>
        </w:rPr>
      </w:pPr>
      <w:r>
        <w:rPr>
          <w:rFonts w:ascii="Tahoma" w:eastAsia="Aptos" w:hAnsi="Tahoma" w:cs="Tahoma"/>
          <w:color w:val="000000" w:themeColor="text1"/>
          <w:sz w:val="22"/>
          <w:szCs w:val="22"/>
        </w:rPr>
        <w:t>Aufgrund der sehr ausführlichen redaktionellen Stellungnahme beschränken wir uns auf eine kurze Einschätzung der einzelnen kritisierten Punkte:</w:t>
      </w:r>
    </w:p>
    <w:p w14:paraId="743540E1" w14:textId="0EFEECD5" w:rsidR="005C4118" w:rsidRPr="005C4118" w:rsidRDefault="005C4118" w:rsidP="005C4118">
      <w:pPr>
        <w:rPr>
          <w:rFonts w:ascii="Tahoma" w:eastAsia="Aptos" w:hAnsi="Tahoma" w:cs="Tahoma"/>
          <w:color w:val="000000" w:themeColor="text1"/>
          <w:sz w:val="22"/>
          <w:szCs w:val="22"/>
        </w:rPr>
      </w:pPr>
    </w:p>
    <w:p w14:paraId="38C2C133" w14:textId="77777777" w:rsidR="000A7464" w:rsidRDefault="005C4118" w:rsidP="000A7464">
      <w:pPr>
        <w:pStyle w:val="Listenabsatz"/>
        <w:numPr>
          <w:ilvl w:val="0"/>
          <w:numId w:val="19"/>
        </w:numPr>
        <w:rPr>
          <w:rFonts w:ascii="Tahoma" w:eastAsia="Aptos" w:hAnsi="Tahoma" w:cs="Tahoma"/>
          <w:color w:val="000000" w:themeColor="text1"/>
          <w:sz w:val="22"/>
          <w:szCs w:val="22"/>
        </w:rPr>
      </w:pPr>
      <w:r w:rsidRPr="003E71CE">
        <w:rPr>
          <w:rFonts w:ascii="Tahoma" w:eastAsia="Aptos" w:hAnsi="Tahoma" w:cs="Tahoma"/>
          <w:color w:val="000000" w:themeColor="text1"/>
          <w:sz w:val="22"/>
          <w:szCs w:val="22"/>
        </w:rPr>
        <w:t xml:space="preserve">Während die </w:t>
      </w:r>
      <w:r w:rsidR="00CB5D3E">
        <w:rPr>
          <w:rFonts w:ascii="Tahoma" w:eastAsia="Aptos" w:hAnsi="Tahoma" w:cs="Tahoma"/>
          <w:color w:val="000000" w:themeColor="text1"/>
          <w:sz w:val="22"/>
          <w:szCs w:val="22"/>
        </w:rPr>
        <w:t>Beanstandenden</w:t>
      </w:r>
      <w:r w:rsidRPr="003E71CE">
        <w:rPr>
          <w:rFonts w:ascii="Tahoma" w:eastAsia="Aptos" w:hAnsi="Tahoma" w:cs="Tahoma"/>
          <w:color w:val="000000" w:themeColor="text1"/>
          <w:sz w:val="22"/>
          <w:szCs w:val="22"/>
        </w:rPr>
        <w:t xml:space="preserve"> kritisier</w:t>
      </w:r>
      <w:r w:rsidR="00CB5D3E">
        <w:rPr>
          <w:rFonts w:ascii="Tahoma" w:eastAsia="Aptos" w:hAnsi="Tahoma" w:cs="Tahoma"/>
          <w:color w:val="000000" w:themeColor="text1"/>
          <w:sz w:val="22"/>
          <w:szCs w:val="22"/>
        </w:rPr>
        <w:t>en</w:t>
      </w:r>
      <w:r w:rsidRPr="004D65CF">
        <w:rPr>
          <w:rFonts w:ascii="Tahoma" w:eastAsia="Aptos" w:hAnsi="Tahoma" w:cs="Tahoma"/>
          <w:color w:val="000000" w:themeColor="text1"/>
          <w:sz w:val="22"/>
          <w:szCs w:val="22"/>
        </w:rPr>
        <w:t>,</w:t>
      </w:r>
      <w:r w:rsidRPr="003E71CE">
        <w:rPr>
          <w:rFonts w:ascii="Tahoma" w:eastAsia="Aptos" w:hAnsi="Tahoma" w:cs="Tahoma"/>
          <w:b/>
          <w:bCs/>
          <w:color w:val="000000" w:themeColor="text1"/>
          <w:sz w:val="22"/>
          <w:szCs w:val="22"/>
        </w:rPr>
        <w:t xml:space="preserve"> </w:t>
      </w:r>
      <w:r w:rsidRPr="003E71CE">
        <w:rPr>
          <w:rFonts w:ascii="Tahoma" w:eastAsia="Aptos" w:hAnsi="Tahoma" w:cs="Tahoma"/>
          <w:color w:val="000000" w:themeColor="text1"/>
          <w:sz w:val="22"/>
          <w:szCs w:val="22"/>
        </w:rPr>
        <w:t xml:space="preserve">dass SRF wesentliche historische und völkerrechtliche Kontexte nicht </w:t>
      </w:r>
      <w:r w:rsidR="00747C54">
        <w:rPr>
          <w:rFonts w:ascii="Tahoma" w:eastAsia="Aptos" w:hAnsi="Tahoma" w:cs="Tahoma"/>
          <w:color w:val="000000" w:themeColor="text1"/>
          <w:sz w:val="22"/>
          <w:szCs w:val="22"/>
        </w:rPr>
        <w:t xml:space="preserve">dargestellt </w:t>
      </w:r>
      <w:r w:rsidR="00CB5D3E">
        <w:rPr>
          <w:rFonts w:ascii="Tahoma" w:eastAsia="Aptos" w:hAnsi="Tahoma" w:cs="Tahoma"/>
          <w:color w:val="000000" w:themeColor="text1"/>
          <w:sz w:val="22"/>
          <w:szCs w:val="22"/>
        </w:rPr>
        <w:t xml:space="preserve">habe </w:t>
      </w:r>
      <w:r w:rsidRPr="003E71CE">
        <w:rPr>
          <w:rFonts w:ascii="Tahoma" w:eastAsia="Aptos" w:hAnsi="Tahoma" w:cs="Tahoma"/>
          <w:color w:val="000000" w:themeColor="text1"/>
          <w:sz w:val="22"/>
          <w:szCs w:val="22"/>
        </w:rPr>
        <w:t>(z.B. U</w:t>
      </w:r>
      <w:r w:rsidR="00747C54">
        <w:rPr>
          <w:rFonts w:ascii="Tahoma" w:eastAsia="Aptos" w:hAnsi="Tahoma" w:cs="Tahoma"/>
          <w:color w:val="000000" w:themeColor="text1"/>
          <w:sz w:val="22"/>
          <w:szCs w:val="22"/>
        </w:rPr>
        <w:t>no</w:t>
      </w:r>
      <w:r w:rsidRPr="003E71CE">
        <w:rPr>
          <w:rFonts w:ascii="Tahoma" w:eastAsia="Aptos" w:hAnsi="Tahoma" w:cs="Tahoma"/>
          <w:color w:val="000000" w:themeColor="text1"/>
          <w:sz w:val="22"/>
          <w:szCs w:val="22"/>
        </w:rPr>
        <w:t>-Teilungsplan, Besatzung, Siedlungen, Apartheid-Einstufungen), betont die Redaktion, dass der Fokus bewusst eng gefasst wurde (</w:t>
      </w:r>
      <w:r w:rsidR="00947958">
        <w:rPr>
          <w:rFonts w:ascii="Tahoma" w:eastAsia="Aptos" w:hAnsi="Tahoma" w:cs="Tahoma"/>
          <w:color w:val="000000" w:themeColor="text1"/>
          <w:sz w:val="22"/>
          <w:szCs w:val="22"/>
        </w:rPr>
        <w:t>Drei</w:t>
      </w:r>
      <w:r w:rsidRPr="003E71CE">
        <w:rPr>
          <w:rFonts w:ascii="Tahoma" w:eastAsia="Aptos" w:hAnsi="Tahoma" w:cs="Tahoma"/>
          <w:color w:val="000000" w:themeColor="text1"/>
          <w:sz w:val="22"/>
          <w:szCs w:val="22"/>
        </w:rPr>
        <w:t>-Elemente-</w:t>
      </w:r>
      <w:r w:rsidR="00947958">
        <w:rPr>
          <w:rFonts w:ascii="Tahoma" w:eastAsia="Aptos" w:hAnsi="Tahoma" w:cs="Tahoma"/>
          <w:color w:val="000000" w:themeColor="text1"/>
          <w:sz w:val="22"/>
          <w:szCs w:val="22"/>
        </w:rPr>
        <w:t>Regel</w:t>
      </w:r>
      <w:r w:rsidRPr="003E71CE">
        <w:rPr>
          <w:rFonts w:ascii="Tahoma" w:eastAsia="Aptos" w:hAnsi="Tahoma" w:cs="Tahoma"/>
          <w:color w:val="000000" w:themeColor="text1"/>
          <w:sz w:val="22"/>
          <w:szCs w:val="22"/>
        </w:rPr>
        <w:t xml:space="preserve">, Staatlichkeit). </w:t>
      </w:r>
    </w:p>
    <w:p w14:paraId="05D783AB" w14:textId="620E9C6C" w:rsidR="000A7464" w:rsidRDefault="000A7464" w:rsidP="000A7464">
      <w:pPr>
        <w:pStyle w:val="Listenabsatz"/>
        <w:rPr>
          <w:rFonts w:ascii="Tahoma" w:eastAsia="Aptos" w:hAnsi="Tahoma" w:cs="Tahoma"/>
          <w:color w:val="000000" w:themeColor="text1"/>
          <w:sz w:val="22"/>
          <w:szCs w:val="22"/>
        </w:rPr>
      </w:pPr>
      <w:r w:rsidRPr="000A7464">
        <w:rPr>
          <w:rFonts w:ascii="Tahoma" w:eastAsia="Aptos" w:hAnsi="Tahoma" w:cs="Tahoma"/>
          <w:color w:val="000000" w:themeColor="text1"/>
          <w:sz w:val="22"/>
          <w:szCs w:val="22"/>
        </w:rPr>
        <w:t>T</w:t>
      </w:r>
      <w:r w:rsidR="00947958" w:rsidRPr="000A7464">
        <w:rPr>
          <w:rFonts w:ascii="Tahoma" w:eastAsia="Aptos" w:hAnsi="Tahoma" w:cs="Tahoma"/>
          <w:color w:val="000000" w:themeColor="text1"/>
          <w:sz w:val="22"/>
          <w:szCs w:val="22"/>
        </w:rPr>
        <w:t>rotz der Anerkennung Palästinas durch die Mehrheit der Uno-Mitgliedsstaaten bleibt der Status der palästinensischen Gebiete international umstritten, weil völkerrechtlich eben auf die Drei-Elemente-Regel abgestützt wird. Dieser international anerkannte Staatsbegriff beschreibt einen politisch und rechtlich organisierten Personenverband (Staatsvolk), der auf abgegrenzter Fläche (Staatsgebiet) einer Bevölkerung eine eigene Ordnung (Staatsgewalt) gibt. Auf dieser Definition fusst der Beitrag von «10vor10»</w:t>
      </w:r>
      <w:r w:rsidRPr="000A7464">
        <w:rPr>
          <w:rFonts w:ascii="Tahoma" w:eastAsia="Aptos" w:hAnsi="Tahoma" w:cs="Tahoma"/>
          <w:color w:val="000000" w:themeColor="text1"/>
          <w:sz w:val="22"/>
          <w:szCs w:val="22"/>
        </w:rPr>
        <w:t xml:space="preserve"> und erörtert die Drei-Elemente-Regel. Wobei vor allem auf das umstrittenste Kriterium der effektiven Staatsgewalt eingegangen wird: Unerheblich ist, ob es eine demokratisch legitimierte Regierung und Verwaltung gibt oder ein Staat irgendwann formal gegründet wurde. Entscheidend ist, ob ein Staat effektiv handeln kann. Zwar ist die Meinung verbreitet, im Westjordanland werde die Staatsgewalt grundsätzlich von der Autonomiebehörde und im Gazastreifen von der Hamas ausgeübt. Doch genügt das nach weit verbreiteter Meinung von Expertinnen und Experten im völkerrechtlichen Sinne nicht. Denn die staatliche Verwaltung in den palästinensischen Gebieten und vor allem die Kontrolle der Aussengrenzen hängt von Israel ab. Der Einfluss Israels ist so stark, dass eine effektive Staatsgewalt der Palästinenser unterm Strich </w:t>
      </w:r>
      <w:r w:rsidR="0059115B">
        <w:rPr>
          <w:rFonts w:ascii="Tahoma" w:eastAsia="Aptos" w:hAnsi="Tahoma" w:cs="Tahoma"/>
          <w:color w:val="000000" w:themeColor="text1"/>
          <w:sz w:val="22"/>
          <w:szCs w:val="22"/>
        </w:rPr>
        <w:t xml:space="preserve">effektiv </w:t>
      </w:r>
      <w:r w:rsidRPr="000A7464">
        <w:rPr>
          <w:rFonts w:ascii="Tahoma" w:eastAsia="Aptos" w:hAnsi="Tahoma" w:cs="Tahoma"/>
          <w:color w:val="000000" w:themeColor="text1"/>
          <w:sz w:val="22"/>
          <w:szCs w:val="22"/>
        </w:rPr>
        <w:t xml:space="preserve">nicht </w:t>
      </w:r>
      <w:r w:rsidR="0059115B">
        <w:rPr>
          <w:rFonts w:ascii="Tahoma" w:eastAsia="Aptos" w:hAnsi="Tahoma" w:cs="Tahoma"/>
          <w:color w:val="000000" w:themeColor="text1"/>
          <w:sz w:val="22"/>
          <w:szCs w:val="22"/>
        </w:rPr>
        <w:t xml:space="preserve">oder nur ausgesprochen beschränkt </w:t>
      </w:r>
      <w:r w:rsidRPr="000A7464">
        <w:rPr>
          <w:rFonts w:ascii="Tahoma" w:eastAsia="Aptos" w:hAnsi="Tahoma" w:cs="Tahoma"/>
          <w:color w:val="000000" w:themeColor="text1"/>
          <w:sz w:val="22"/>
          <w:szCs w:val="22"/>
        </w:rPr>
        <w:t xml:space="preserve">existiert. Auch wenn dieses dritte Element nicht erfüllt ist, wird diskutiert, ob Palästina auch ohne effektive Staatsgewalt ein Staat sein kann. Denn Israels Siedlungspolitik im Westjordanland wird seinerseits oft als völkerrechtswidrig bewertet. Zu diesem Schluss kommt etwa der Internationale Gerichtshof.  Dieser stellte in seinem Gutachten fest, dass die Siedlungspolitik gegen Völkerrecht </w:t>
      </w:r>
      <w:r w:rsidRPr="000A7464">
        <w:rPr>
          <w:rFonts w:ascii="Tahoma" w:eastAsia="Aptos" w:hAnsi="Tahoma" w:cs="Tahoma"/>
          <w:color w:val="000000" w:themeColor="text1"/>
          <w:sz w:val="22"/>
          <w:szCs w:val="22"/>
        </w:rPr>
        <w:lastRenderedPageBreak/>
        <w:t xml:space="preserve">verstosse und Israel damit Palästinenser-Gebiet annektiere. Israel müsse sich so schnell wie möglich zurückziehen. Gerichtlich durchsetzen kann der IGH das aber nicht. Daraus leiten Völkerrechtlerinnen und Völkerrechtler ab, dass die Palästinenser, die sich eigentlich gerne selbst verwalten würden, das gar nicht können. </w:t>
      </w:r>
    </w:p>
    <w:p w14:paraId="4C2516D3" w14:textId="77777777" w:rsidR="000A7464" w:rsidRDefault="000A7464" w:rsidP="000A7464">
      <w:pPr>
        <w:pStyle w:val="Listenabsatz"/>
        <w:rPr>
          <w:rFonts w:ascii="Tahoma" w:eastAsia="Aptos" w:hAnsi="Tahoma" w:cs="Tahoma"/>
          <w:color w:val="000000" w:themeColor="text1"/>
          <w:sz w:val="22"/>
          <w:szCs w:val="22"/>
        </w:rPr>
      </w:pPr>
    </w:p>
    <w:p w14:paraId="68D84C0A" w14:textId="0F7419D6" w:rsidR="000A7464" w:rsidRPr="000A7464" w:rsidRDefault="000A7464" w:rsidP="000A7464">
      <w:pPr>
        <w:pStyle w:val="Listenabsatz"/>
        <w:rPr>
          <w:rFonts w:ascii="Tahoma" w:eastAsia="Aptos" w:hAnsi="Tahoma" w:cs="Tahoma"/>
          <w:color w:val="000000" w:themeColor="text1"/>
          <w:sz w:val="22"/>
          <w:szCs w:val="22"/>
        </w:rPr>
      </w:pPr>
      <w:r>
        <w:rPr>
          <w:rFonts w:ascii="Tahoma" w:eastAsia="Aptos" w:hAnsi="Tahoma" w:cs="Tahoma"/>
          <w:color w:val="000000" w:themeColor="text1"/>
          <w:sz w:val="22"/>
          <w:szCs w:val="22"/>
        </w:rPr>
        <w:t>Die diesbezüglichen Ausführungen im Bericht waren korrekt, auch wenn einige historisch</w:t>
      </w:r>
      <w:r w:rsidR="00A0538D">
        <w:rPr>
          <w:rFonts w:ascii="Tahoma" w:eastAsia="Aptos" w:hAnsi="Tahoma" w:cs="Tahoma"/>
          <w:color w:val="000000" w:themeColor="text1"/>
          <w:sz w:val="22"/>
          <w:szCs w:val="22"/>
        </w:rPr>
        <w:t xml:space="preserve"> bedingte Hintergrundfaktoren nicht genannt wurden. </w:t>
      </w:r>
      <w:r w:rsidRPr="003E71CE">
        <w:rPr>
          <w:rFonts w:ascii="Tahoma" w:eastAsia="Aptos" w:hAnsi="Tahoma" w:cs="Tahoma"/>
          <w:color w:val="000000" w:themeColor="text1"/>
          <w:sz w:val="22"/>
          <w:szCs w:val="22"/>
        </w:rPr>
        <w:t xml:space="preserve">Das </w:t>
      </w:r>
      <w:r w:rsidR="00A0538D">
        <w:rPr>
          <w:rFonts w:ascii="Tahoma" w:eastAsia="Aptos" w:hAnsi="Tahoma" w:cs="Tahoma"/>
          <w:color w:val="000000" w:themeColor="text1"/>
          <w:sz w:val="22"/>
          <w:szCs w:val="22"/>
        </w:rPr>
        <w:t>war</w:t>
      </w:r>
      <w:r w:rsidRPr="003E71CE">
        <w:rPr>
          <w:rFonts w:ascii="Tahoma" w:eastAsia="Aptos" w:hAnsi="Tahoma" w:cs="Tahoma"/>
          <w:color w:val="000000" w:themeColor="text1"/>
          <w:sz w:val="22"/>
          <w:szCs w:val="22"/>
        </w:rPr>
        <w:t xml:space="preserve"> angesichts der Fokussierung und der Kürze des Informationsbeitrags auch nicht nötig.</w:t>
      </w:r>
    </w:p>
    <w:p w14:paraId="0C77F5F5" w14:textId="37E2E487" w:rsidR="000A7464" w:rsidRPr="00947958" w:rsidRDefault="000A7464" w:rsidP="000A7464">
      <w:pPr>
        <w:pStyle w:val="Listenabsatz"/>
        <w:rPr>
          <w:rFonts w:ascii="Tahoma" w:eastAsia="Aptos" w:hAnsi="Tahoma" w:cs="Tahoma"/>
          <w:color w:val="000000" w:themeColor="text1"/>
          <w:sz w:val="22"/>
          <w:szCs w:val="22"/>
        </w:rPr>
      </w:pPr>
    </w:p>
    <w:p w14:paraId="1DEFF107" w14:textId="1A69DA41" w:rsidR="003E71CE" w:rsidRDefault="003E71CE" w:rsidP="003E71CE">
      <w:pPr>
        <w:pStyle w:val="Listenabsatz"/>
        <w:numPr>
          <w:ilvl w:val="0"/>
          <w:numId w:val="19"/>
        </w:numPr>
        <w:rPr>
          <w:rFonts w:ascii="Tahoma" w:eastAsia="Aptos" w:hAnsi="Tahoma" w:cs="Tahoma"/>
          <w:color w:val="000000" w:themeColor="text1"/>
          <w:sz w:val="22"/>
          <w:szCs w:val="22"/>
        </w:rPr>
      </w:pPr>
      <w:r w:rsidRPr="003E71CE">
        <w:rPr>
          <w:rFonts w:ascii="Tahoma" w:eastAsia="Aptos" w:hAnsi="Tahoma" w:cs="Tahoma"/>
          <w:color w:val="000000" w:themeColor="text1"/>
          <w:sz w:val="22"/>
          <w:szCs w:val="22"/>
        </w:rPr>
        <w:t>Die</w:t>
      </w:r>
      <w:r w:rsidR="00CB5D3E">
        <w:rPr>
          <w:rFonts w:ascii="Tahoma" w:eastAsia="Aptos" w:hAnsi="Tahoma" w:cs="Tahoma"/>
          <w:color w:val="000000" w:themeColor="text1"/>
          <w:sz w:val="22"/>
          <w:szCs w:val="22"/>
        </w:rPr>
        <w:t xml:space="preserve"> Beanstandenden stellen </w:t>
      </w:r>
      <w:r w:rsidRPr="003E71CE">
        <w:rPr>
          <w:rFonts w:ascii="Tahoma" w:eastAsia="Aptos" w:hAnsi="Tahoma" w:cs="Tahoma"/>
          <w:color w:val="000000" w:themeColor="text1"/>
          <w:sz w:val="22"/>
          <w:szCs w:val="22"/>
        </w:rPr>
        <w:t>sich auf den Standpunkt, die Formulierung, «Ethnie, entstanden aus arabischen Völkern», sei eine das palästinensische Volk entwertende Verkürzung. Die Redaktion hält dem entgegen, dass die Formulierung historisch korrekt ist (aufgrund des Begriffs «Palästinenser» seit der Mandatszeit) und man bewusst keine Zuschreibung wie zum Beispiel «indigen» habe vornehmen wollen. Historisch korrekt ist: «Palästinenser» ist eine moderne nationale Selbstzuschreibung (ähnlich wie viele National</w:t>
      </w:r>
      <w:r w:rsidR="00747C54">
        <w:rPr>
          <w:rFonts w:ascii="Tahoma" w:eastAsia="Aptos" w:hAnsi="Tahoma" w:cs="Tahoma"/>
          <w:color w:val="000000" w:themeColor="text1"/>
          <w:sz w:val="22"/>
          <w:szCs w:val="22"/>
        </w:rPr>
        <w:t>-I</w:t>
      </w:r>
      <w:r w:rsidRPr="003E71CE">
        <w:rPr>
          <w:rFonts w:ascii="Tahoma" w:eastAsia="Aptos" w:hAnsi="Tahoma" w:cs="Tahoma"/>
          <w:color w:val="000000" w:themeColor="text1"/>
          <w:sz w:val="22"/>
          <w:szCs w:val="22"/>
        </w:rPr>
        <w:t>dentitäten im 19./20. Jh. entstanden). Tatsächlich hätte man sensibler formulieren können, um nicht den Eindruck zu erwecken, das palästinensische Volk sei «weniger legitim» als das jüdische. Einen Verstoss gegen das Sachgerechtigkeitsgebot erkennt die Ombudsstelle aufgrund d</w:t>
      </w:r>
      <w:r w:rsidR="00747C54">
        <w:rPr>
          <w:rFonts w:ascii="Tahoma" w:eastAsia="Aptos" w:hAnsi="Tahoma" w:cs="Tahoma"/>
          <w:color w:val="000000" w:themeColor="text1"/>
          <w:sz w:val="22"/>
          <w:szCs w:val="22"/>
        </w:rPr>
        <w:t>i</w:t>
      </w:r>
      <w:r w:rsidRPr="003E71CE">
        <w:rPr>
          <w:rFonts w:ascii="Tahoma" w:eastAsia="Aptos" w:hAnsi="Tahoma" w:cs="Tahoma"/>
          <w:color w:val="000000" w:themeColor="text1"/>
          <w:sz w:val="22"/>
          <w:szCs w:val="22"/>
        </w:rPr>
        <w:t>es</w:t>
      </w:r>
      <w:r w:rsidR="00747C54">
        <w:rPr>
          <w:rFonts w:ascii="Tahoma" w:eastAsia="Aptos" w:hAnsi="Tahoma" w:cs="Tahoma"/>
          <w:color w:val="000000" w:themeColor="text1"/>
          <w:sz w:val="22"/>
          <w:szCs w:val="22"/>
        </w:rPr>
        <w:t>es</w:t>
      </w:r>
      <w:r w:rsidRPr="003E71CE">
        <w:rPr>
          <w:rFonts w:ascii="Tahoma" w:eastAsia="Aptos" w:hAnsi="Tahoma" w:cs="Tahoma"/>
          <w:color w:val="000000" w:themeColor="text1"/>
          <w:sz w:val="22"/>
          <w:szCs w:val="22"/>
        </w:rPr>
        <w:t xml:space="preserve"> mangelnden Sensibilisierungsgrads jedoch nicht.</w:t>
      </w:r>
    </w:p>
    <w:p w14:paraId="1271295F" w14:textId="77777777" w:rsidR="002F4C94" w:rsidRDefault="002F4C94" w:rsidP="002F4C94">
      <w:pPr>
        <w:pStyle w:val="Listenabsatz"/>
        <w:rPr>
          <w:rFonts w:ascii="Tahoma" w:eastAsia="Aptos" w:hAnsi="Tahoma" w:cs="Tahoma"/>
          <w:color w:val="000000" w:themeColor="text1"/>
          <w:sz w:val="22"/>
          <w:szCs w:val="22"/>
        </w:rPr>
      </w:pPr>
    </w:p>
    <w:p w14:paraId="4732F099" w14:textId="6C6CECF0" w:rsidR="005C4118" w:rsidRDefault="003E71CE" w:rsidP="003E71CE">
      <w:pPr>
        <w:pStyle w:val="Listenabsatz"/>
        <w:numPr>
          <w:ilvl w:val="0"/>
          <w:numId w:val="19"/>
        </w:numPr>
        <w:rPr>
          <w:rFonts w:ascii="Tahoma" w:eastAsia="Aptos" w:hAnsi="Tahoma" w:cs="Tahoma"/>
          <w:color w:val="000000" w:themeColor="text1"/>
          <w:sz w:val="22"/>
          <w:szCs w:val="22"/>
        </w:rPr>
      </w:pPr>
      <w:r>
        <w:rPr>
          <w:rFonts w:ascii="Tahoma" w:eastAsia="Aptos" w:hAnsi="Tahoma" w:cs="Tahoma"/>
          <w:color w:val="000000" w:themeColor="text1"/>
          <w:sz w:val="22"/>
          <w:szCs w:val="22"/>
        </w:rPr>
        <w:t>Die Beansta</w:t>
      </w:r>
      <w:r w:rsidR="00CB5D3E">
        <w:rPr>
          <w:rFonts w:ascii="Tahoma" w:eastAsia="Aptos" w:hAnsi="Tahoma" w:cs="Tahoma"/>
          <w:color w:val="000000" w:themeColor="text1"/>
          <w:sz w:val="22"/>
          <w:szCs w:val="22"/>
        </w:rPr>
        <w:t>ndenden</w:t>
      </w:r>
      <w:r>
        <w:rPr>
          <w:rFonts w:ascii="Tahoma" w:eastAsia="Aptos" w:hAnsi="Tahoma" w:cs="Tahoma"/>
          <w:color w:val="000000" w:themeColor="text1"/>
          <w:sz w:val="22"/>
          <w:szCs w:val="22"/>
        </w:rPr>
        <w:t xml:space="preserve"> kritisier</w:t>
      </w:r>
      <w:r w:rsidR="00CB5D3E">
        <w:rPr>
          <w:rFonts w:ascii="Tahoma" w:eastAsia="Aptos" w:hAnsi="Tahoma" w:cs="Tahoma"/>
          <w:color w:val="000000" w:themeColor="text1"/>
          <w:sz w:val="22"/>
          <w:szCs w:val="22"/>
        </w:rPr>
        <w:t>en</w:t>
      </w:r>
      <w:r>
        <w:rPr>
          <w:rFonts w:ascii="Tahoma" w:eastAsia="Aptos" w:hAnsi="Tahoma" w:cs="Tahoma"/>
          <w:color w:val="000000" w:themeColor="text1"/>
          <w:sz w:val="22"/>
          <w:szCs w:val="22"/>
        </w:rPr>
        <w:t xml:space="preserve"> den in ihren Augen betont einseitigen Slogan «</w:t>
      </w:r>
      <w:r w:rsidR="005C4118" w:rsidRPr="003E71CE">
        <w:rPr>
          <w:rFonts w:ascii="Tahoma" w:eastAsia="Aptos" w:hAnsi="Tahoma" w:cs="Tahoma"/>
          <w:color w:val="000000" w:themeColor="text1"/>
          <w:sz w:val="22"/>
          <w:szCs w:val="22"/>
        </w:rPr>
        <w:t>vom Fluss bis zum Meer</w:t>
      </w:r>
      <w:r>
        <w:rPr>
          <w:rFonts w:ascii="Tahoma" w:eastAsia="Aptos" w:hAnsi="Tahoma" w:cs="Tahoma"/>
          <w:color w:val="000000" w:themeColor="text1"/>
          <w:sz w:val="22"/>
          <w:szCs w:val="22"/>
        </w:rPr>
        <w:t>»</w:t>
      </w:r>
      <w:r w:rsidR="005C4118" w:rsidRPr="003E71CE">
        <w:rPr>
          <w:rFonts w:ascii="Tahoma" w:eastAsia="Aptos" w:hAnsi="Tahoma" w:cs="Tahoma"/>
          <w:color w:val="000000" w:themeColor="text1"/>
          <w:sz w:val="22"/>
          <w:szCs w:val="22"/>
        </w:rPr>
        <w:t xml:space="preserve"> und </w:t>
      </w:r>
      <w:r w:rsidR="008811F2">
        <w:rPr>
          <w:rFonts w:ascii="Tahoma" w:eastAsia="Aptos" w:hAnsi="Tahoma" w:cs="Tahoma"/>
          <w:color w:val="000000" w:themeColor="text1"/>
          <w:sz w:val="22"/>
          <w:szCs w:val="22"/>
        </w:rPr>
        <w:t xml:space="preserve">der Bericht </w:t>
      </w:r>
      <w:r w:rsidR="005C4118" w:rsidRPr="003E71CE">
        <w:rPr>
          <w:rFonts w:ascii="Tahoma" w:eastAsia="Aptos" w:hAnsi="Tahoma" w:cs="Tahoma"/>
          <w:color w:val="000000" w:themeColor="text1"/>
          <w:sz w:val="22"/>
          <w:szCs w:val="22"/>
        </w:rPr>
        <w:t xml:space="preserve">unterschlage </w:t>
      </w:r>
      <w:r>
        <w:rPr>
          <w:rFonts w:ascii="Tahoma" w:eastAsia="Aptos" w:hAnsi="Tahoma" w:cs="Tahoma"/>
          <w:color w:val="000000" w:themeColor="text1"/>
          <w:sz w:val="22"/>
          <w:szCs w:val="22"/>
        </w:rPr>
        <w:t xml:space="preserve">den </w:t>
      </w:r>
      <w:r w:rsidR="005C4118" w:rsidRPr="003E71CE">
        <w:rPr>
          <w:rFonts w:ascii="Tahoma" w:eastAsia="Aptos" w:hAnsi="Tahoma" w:cs="Tahoma"/>
          <w:color w:val="000000" w:themeColor="text1"/>
          <w:sz w:val="22"/>
          <w:szCs w:val="22"/>
        </w:rPr>
        <w:t>Kontext (Besatzung, Siedlungsbau, Zersplitterung).</w:t>
      </w:r>
      <w:r>
        <w:rPr>
          <w:rFonts w:ascii="Tahoma" w:eastAsia="Aptos" w:hAnsi="Tahoma" w:cs="Tahoma"/>
          <w:color w:val="000000" w:themeColor="text1"/>
          <w:sz w:val="22"/>
          <w:szCs w:val="22"/>
        </w:rPr>
        <w:t xml:space="preserve"> Die Redaktion verweist nach der Meinung der Ombudsstelle aber zu Recht darauf, dass im Beitrag die Orientierung an der Westbank, Gaza und Ostjerusalem klar benannt worden sei. Es wurde nicht nur das Maximal-Narrativ gezeigt, sondern auch die Oslo-Grenze als Referenz. Auch hier hätte man den Kontext «Besatzung verhindert Kohärenz» prägnanter formulieren können. Aber auch hier liegt deswegen kein Verstoss gegen das Sachgerechtigkeitsverbot vor.</w:t>
      </w:r>
    </w:p>
    <w:p w14:paraId="115CF688" w14:textId="77777777" w:rsidR="002F4C94" w:rsidRPr="002F4C94" w:rsidRDefault="002F4C94" w:rsidP="002F4C94">
      <w:pPr>
        <w:rPr>
          <w:rFonts w:ascii="Tahoma" w:eastAsia="Aptos" w:hAnsi="Tahoma" w:cs="Tahoma"/>
          <w:color w:val="000000" w:themeColor="text1"/>
          <w:sz w:val="22"/>
          <w:szCs w:val="22"/>
        </w:rPr>
      </w:pPr>
    </w:p>
    <w:p w14:paraId="3F60AA45" w14:textId="1E0599BF" w:rsidR="00F50118" w:rsidRDefault="00F50118" w:rsidP="00F50118">
      <w:pPr>
        <w:pStyle w:val="Listenabsatz"/>
        <w:numPr>
          <w:ilvl w:val="0"/>
          <w:numId w:val="19"/>
        </w:numPr>
        <w:rPr>
          <w:rFonts w:ascii="Tahoma" w:eastAsia="Aptos" w:hAnsi="Tahoma" w:cs="Tahoma"/>
          <w:color w:val="000000" w:themeColor="text1"/>
          <w:sz w:val="22"/>
          <w:szCs w:val="22"/>
        </w:rPr>
      </w:pPr>
      <w:r>
        <w:rPr>
          <w:rFonts w:ascii="Tahoma" w:eastAsia="Aptos" w:hAnsi="Tahoma" w:cs="Tahoma"/>
          <w:color w:val="000000" w:themeColor="text1"/>
          <w:sz w:val="22"/>
          <w:szCs w:val="22"/>
        </w:rPr>
        <w:t>Im Beitrag wurde klar gesagt, Israel untergrabe das Gewaltmonopol: «</w:t>
      </w:r>
      <w:r w:rsidRPr="005C4118">
        <w:rPr>
          <w:rFonts w:ascii="Tahoma" w:eastAsia="Aptos" w:hAnsi="Tahoma" w:cs="Tahoma"/>
          <w:color w:val="000000" w:themeColor="text1"/>
          <w:sz w:val="22"/>
          <w:szCs w:val="22"/>
        </w:rPr>
        <w:t>Besatzer machten… das Gewaltmonopol immer strittiger</w:t>
      </w:r>
      <w:r>
        <w:rPr>
          <w:rFonts w:ascii="Tahoma" w:eastAsia="Aptos" w:hAnsi="Tahoma" w:cs="Tahoma"/>
          <w:color w:val="000000" w:themeColor="text1"/>
          <w:sz w:val="22"/>
          <w:szCs w:val="22"/>
        </w:rPr>
        <w:t xml:space="preserve">». Der Kontext zur Besatzung wurde explizit erwähnt, sodass der Vorwurf der </w:t>
      </w:r>
      <w:r w:rsidR="00CB5D3E">
        <w:rPr>
          <w:rFonts w:ascii="Tahoma" w:eastAsia="Aptos" w:hAnsi="Tahoma" w:cs="Tahoma"/>
          <w:color w:val="000000" w:themeColor="text1"/>
          <w:sz w:val="22"/>
          <w:szCs w:val="22"/>
        </w:rPr>
        <w:t>Beanstandenden</w:t>
      </w:r>
      <w:r>
        <w:rPr>
          <w:rFonts w:ascii="Tahoma" w:eastAsia="Aptos" w:hAnsi="Tahoma" w:cs="Tahoma"/>
          <w:color w:val="000000" w:themeColor="text1"/>
          <w:sz w:val="22"/>
          <w:szCs w:val="22"/>
        </w:rPr>
        <w:t>, der Hamas/Fatah-Konflikt sei ohne Besatzungskontext dargestellt wurden, nicht stichhaltig ist.</w:t>
      </w:r>
    </w:p>
    <w:p w14:paraId="22828C21" w14:textId="77777777" w:rsidR="002F4C94" w:rsidRPr="002F4C94" w:rsidRDefault="002F4C94" w:rsidP="002F4C94">
      <w:pPr>
        <w:rPr>
          <w:rFonts w:ascii="Tahoma" w:eastAsia="Aptos" w:hAnsi="Tahoma" w:cs="Tahoma"/>
          <w:color w:val="000000" w:themeColor="text1"/>
          <w:sz w:val="22"/>
          <w:szCs w:val="22"/>
        </w:rPr>
      </w:pPr>
    </w:p>
    <w:p w14:paraId="2015B7C1" w14:textId="022105D0" w:rsidR="00F50118" w:rsidRDefault="00F50118" w:rsidP="00F50118">
      <w:pPr>
        <w:pStyle w:val="Listenabsatz"/>
        <w:numPr>
          <w:ilvl w:val="0"/>
          <w:numId w:val="19"/>
        </w:numPr>
        <w:rPr>
          <w:rFonts w:ascii="Tahoma" w:eastAsia="Aptos" w:hAnsi="Tahoma" w:cs="Tahoma"/>
          <w:color w:val="000000" w:themeColor="text1"/>
          <w:sz w:val="22"/>
          <w:szCs w:val="22"/>
        </w:rPr>
      </w:pPr>
      <w:r w:rsidRPr="00F50118">
        <w:rPr>
          <w:rFonts w:ascii="Tahoma" w:eastAsia="Aptos" w:hAnsi="Tahoma" w:cs="Tahoma"/>
          <w:color w:val="000000" w:themeColor="text1"/>
          <w:sz w:val="22"/>
          <w:szCs w:val="22"/>
        </w:rPr>
        <w:t>Ohne den Zusatz «</w:t>
      </w:r>
      <w:r w:rsidR="00A61CED">
        <w:rPr>
          <w:rFonts w:ascii="Tahoma" w:eastAsia="Aptos" w:hAnsi="Tahoma" w:cs="Tahoma"/>
          <w:color w:val="000000" w:themeColor="text1"/>
          <w:sz w:val="22"/>
          <w:szCs w:val="22"/>
          <w:u w:val="single"/>
        </w:rPr>
        <w:t xml:space="preserve">erstes </w:t>
      </w:r>
      <w:r w:rsidR="00DB2C70" w:rsidRPr="004D65CF">
        <w:rPr>
          <w:rFonts w:ascii="Tahoma" w:eastAsia="Aptos" w:hAnsi="Tahoma" w:cs="Tahoma"/>
          <w:color w:val="000000" w:themeColor="text1"/>
          <w:sz w:val="22"/>
          <w:szCs w:val="22"/>
          <w:u w:val="single"/>
        </w:rPr>
        <w:t>mächtiges</w:t>
      </w:r>
      <w:r w:rsidR="00DB2C70">
        <w:rPr>
          <w:rFonts w:ascii="Tahoma" w:eastAsia="Aptos" w:hAnsi="Tahoma" w:cs="Tahoma"/>
          <w:color w:val="000000" w:themeColor="text1"/>
          <w:sz w:val="22"/>
          <w:szCs w:val="22"/>
        </w:rPr>
        <w:t xml:space="preserve"> westliches</w:t>
      </w:r>
      <w:r w:rsidRPr="00F50118">
        <w:rPr>
          <w:rFonts w:ascii="Tahoma" w:eastAsia="Aptos" w:hAnsi="Tahoma" w:cs="Tahoma"/>
          <w:color w:val="000000" w:themeColor="text1"/>
          <w:sz w:val="22"/>
          <w:szCs w:val="22"/>
        </w:rPr>
        <w:t>» Land wäre es tatsächlich meinungsverfälschend gewesen, Frankreich als erstes westliches Land zu nennen, das Palästina als Land anerkennen will. Aber Frankreich war tatsächlich die erste westliche Grossmacht (Mitglied des Uno-Sicherheitsrats und Mitglied der G7)</w:t>
      </w:r>
      <w:r w:rsidR="00747C54">
        <w:rPr>
          <w:rFonts w:ascii="Tahoma" w:eastAsia="Aptos" w:hAnsi="Tahoma" w:cs="Tahoma"/>
          <w:color w:val="000000" w:themeColor="text1"/>
          <w:sz w:val="22"/>
          <w:szCs w:val="22"/>
        </w:rPr>
        <w:t>, die den Staat anerkennen will</w:t>
      </w:r>
      <w:r w:rsidRPr="00F50118">
        <w:rPr>
          <w:rFonts w:ascii="Tahoma" w:eastAsia="Aptos" w:hAnsi="Tahoma" w:cs="Tahoma"/>
          <w:color w:val="000000" w:themeColor="text1"/>
          <w:sz w:val="22"/>
          <w:szCs w:val="22"/>
        </w:rPr>
        <w:t xml:space="preserve">. Die Formulierung ist deshalb zulässig. </w:t>
      </w:r>
    </w:p>
    <w:p w14:paraId="3758D397" w14:textId="77777777" w:rsidR="002F4C94" w:rsidRPr="002F4C94" w:rsidRDefault="002F4C94" w:rsidP="002F4C94">
      <w:pPr>
        <w:pStyle w:val="Listenabsatz"/>
        <w:rPr>
          <w:rFonts w:ascii="Tahoma" w:eastAsia="Aptos" w:hAnsi="Tahoma" w:cs="Tahoma"/>
          <w:color w:val="000000" w:themeColor="text1"/>
          <w:sz w:val="22"/>
          <w:szCs w:val="22"/>
        </w:rPr>
      </w:pPr>
    </w:p>
    <w:p w14:paraId="375E4A65" w14:textId="77777777" w:rsidR="002F4C94" w:rsidRDefault="002F4C94" w:rsidP="002F4C94">
      <w:pPr>
        <w:pStyle w:val="Listenabsatz"/>
        <w:rPr>
          <w:rFonts w:ascii="Tahoma" w:eastAsia="Aptos" w:hAnsi="Tahoma" w:cs="Tahoma"/>
          <w:color w:val="000000" w:themeColor="text1"/>
          <w:sz w:val="22"/>
          <w:szCs w:val="22"/>
        </w:rPr>
      </w:pPr>
    </w:p>
    <w:p w14:paraId="58071844" w14:textId="5A4DCB46" w:rsidR="00F50118" w:rsidRDefault="00F50118" w:rsidP="00F50118">
      <w:pPr>
        <w:pStyle w:val="Listenabsatz"/>
        <w:numPr>
          <w:ilvl w:val="0"/>
          <w:numId w:val="19"/>
        </w:numPr>
        <w:rPr>
          <w:rFonts w:ascii="Tahoma" w:eastAsia="Aptos" w:hAnsi="Tahoma" w:cs="Tahoma"/>
          <w:color w:val="000000" w:themeColor="text1"/>
          <w:sz w:val="22"/>
          <w:szCs w:val="22"/>
        </w:rPr>
      </w:pPr>
      <w:r>
        <w:rPr>
          <w:rFonts w:ascii="Tahoma" w:eastAsia="Aptos" w:hAnsi="Tahoma" w:cs="Tahoma"/>
          <w:color w:val="000000" w:themeColor="text1"/>
          <w:sz w:val="22"/>
          <w:szCs w:val="22"/>
        </w:rPr>
        <w:lastRenderedPageBreak/>
        <w:t xml:space="preserve">Nicht stichhaltig ist </w:t>
      </w:r>
      <w:r w:rsidR="00CB5D3E">
        <w:rPr>
          <w:rFonts w:ascii="Tahoma" w:eastAsia="Aptos" w:hAnsi="Tahoma" w:cs="Tahoma"/>
          <w:color w:val="000000" w:themeColor="text1"/>
          <w:sz w:val="22"/>
          <w:szCs w:val="22"/>
        </w:rPr>
        <w:t>der Vorwurf der Beanstandenden</w:t>
      </w:r>
      <w:r>
        <w:rPr>
          <w:rFonts w:ascii="Tahoma" w:eastAsia="Aptos" w:hAnsi="Tahoma" w:cs="Tahoma"/>
          <w:color w:val="000000" w:themeColor="text1"/>
          <w:sz w:val="22"/>
          <w:szCs w:val="22"/>
        </w:rPr>
        <w:t>, der IGH, Amnesty International und weitere nichtstaatliche Institutionen bzw. Organisationen seien im Bericht nicht erwähnt worden. Der Fokus des Beitrags lag auf der Staatlichkeit, nicht auf Apartheid- oder Besatzungsdebatten.</w:t>
      </w:r>
    </w:p>
    <w:p w14:paraId="056993D5" w14:textId="77777777" w:rsidR="00747C54" w:rsidRDefault="00747C54" w:rsidP="00747C54">
      <w:pPr>
        <w:pStyle w:val="Listenabsatz"/>
        <w:rPr>
          <w:rFonts w:ascii="Tahoma" w:eastAsia="Aptos" w:hAnsi="Tahoma" w:cs="Tahoma"/>
          <w:color w:val="000000" w:themeColor="text1"/>
          <w:sz w:val="22"/>
          <w:szCs w:val="22"/>
        </w:rPr>
      </w:pPr>
    </w:p>
    <w:p w14:paraId="57E57CDD" w14:textId="754C0F06" w:rsidR="00CB5D3E" w:rsidRPr="00CB5D3E" w:rsidRDefault="00747C54" w:rsidP="00747C54">
      <w:pPr>
        <w:rPr>
          <w:rFonts w:ascii="Tahoma" w:eastAsia="Aptos" w:hAnsi="Tahoma" w:cs="Tahoma"/>
          <w:b/>
          <w:bCs/>
          <w:color w:val="000000" w:themeColor="text1"/>
          <w:sz w:val="22"/>
          <w:szCs w:val="22"/>
        </w:rPr>
      </w:pPr>
      <w:r w:rsidRPr="00CB5D3E">
        <w:rPr>
          <w:rFonts w:ascii="Tahoma" w:eastAsia="Aptos" w:hAnsi="Tahoma" w:cs="Tahoma"/>
          <w:b/>
          <w:bCs/>
          <w:color w:val="000000" w:themeColor="text1"/>
          <w:sz w:val="22"/>
          <w:szCs w:val="22"/>
        </w:rPr>
        <w:t xml:space="preserve">Aufgrund des </w:t>
      </w:r>
      <w:r w:rsidR="004B272A">
        <w:rPr>
          <w:rFonts w:ascii="Tahoma" w:eastAsia="Aptos" w:hAnsi="Tahoma" w:cs="Tahoma"/>
          <w:b/>
          <w:bCs/>
          <w:color w:val="000000" w:themeColor="text1"/>
          <w:sz w:val="22"/>
          <w:szCs w:val="22"/>
        </w:rPr>
        <w:t xml:space="preserve">(völkerrechtlichen) </w:t>
      </w:r>
      <w:r w:rsidRPr="00CB5D3E">
        <w:rPr>
          <w:rFonts w:ascii="Tahoma" w:eastAsia="Aptos" w:hAnsi="Tahoma" w:cs="Tahoma"/>
          <w:b/>
          <w:bCs/>
          <w:color w:val="000000" w:themeColor="text1"/>
          <w:sz w:val="22"/>
          <w:szCs w:val="22"/>
        </w:rPr>
        <w:t>Fokus</w:t>
      </w:r>
      <w:r w:rsidR="004B272A">
        <w:rPr>
          <w:rFonts w:ascii="Tahoma" w:eastAsia="Aptos" w:hAnsi="Tahoma" w:cs="Tahoma"/>
          <w:b/>
          <w:bCs/>
          <w:color w:val="000000" w:themeColor="text1"/>
          <w:sz w:val="22"/>
          <w:szCs w:val="22"/>
        </w:rPr>
        <w:t>’</w:t>
      </w:r>
      <w:r w:rsidRPr="00CB5D3E">
        <w:rPr>
          <w:rFonts w:ascii="Tahoma" w:eastAsia="Aptos" w:hAnsi="Tahoma" w:cs="Tahoma"/>
          <w:b/>
          <w:bCs/>
          <w:color w:val="000000" w:themeColor="text1"/>
          <w:sz w:val="22"/>
          <w:szCs w:val="22"/>
        </w:rPr>
        <w:t xml:space="preserve"> des «10vor10»-Informationsberichtes über die bevorstehende Anerkennung Palästinas als Staat durch Frankreich und der Tatsache, dass die gewünschte </w:t>
      </w:r>
      <w:r w:rsidR="004B272A">
        <w:rPr>
          <w:rFonts w:ascii="Tahoma" w:eastAsia="Aptos" w:hAnsi="Tahoma" w:cs="Tahoma"/>
          <w:b/>
          <w:bCs/>
          <w:color w:val="000000" w:themeColor="text1"/>
          <w:sz w:val="22"/>
          <w:szCs w:val="22"/>
        </w:rPr>
        <w:t xml:space="preserve">(historisch ausführliche) </w:t>
      </w:r>
      <w:r w:rsidRPr="00CB5D3E">
        <w:rPr>
          <w:rFonts w:ascii="Tahoma" w:eastAsia="Aptos" w:hAnsi="Tahoma" w:cs="Tahoma"/>
          <w:b/>
          <w:bCs/>
          <w:color w:val="000000" w:themeColor="text1"/>
          <w:sz w:val="22"/>
          <w:szCs w:val="22"/>
        </w:rPr>
        <w:t xml:space="preserve">Kontextualisierung in anderen SRF-Beiträgen durchaus vorgenommen wurde, wurde das Sachgerechtigkeitsgebot gemäss Art. 4 Abs. 2 des Radio- und Fernsehgesetzes </w:t>
      </w:r>
      <w:r w:rsidR="0078692A">
        <w:rPr>
          <w:rFonts w:ascii="Tahoma" w:eastAsia="Aptos" w:hAnsi="Tahoma" w:cs="Tahoma"/>
          <w:b/>
          <w:bCs/>
          <w:color w:val="000000" w:themeColor="text1"/>
          <w:sz w:val="22"/>
          <w:szCs w:val="22"/>
        </w:rPr>
        <w:t xml:space="preserve">nicht </w:t>
      </w:r>
      <w:r w:rsidRPr="00CB5D3E">
        <w:rPr>
          <w:rFonts w:ascii="Tahoma" w:eastAsia="Aptos" w:hAnsi="Tahoma" w:cs="Tahoma"/>
          <w:b/>
          <w:bCs/>
          <w:color w:val="000000" w:themeColor="text1"/>
          <w:sz w:val="22"/>
          <w:szCs w:val="22"/>
        </w:rPr>
        <w:t>verletzt.</w:t>
      </w:r>
    </w:p>
    <w:p w14:paraId="6BD669CA" w14:textId="77777777" w:rsidR="00D72E64" w:rsidRPr="00F8560C" w:rsidRDefault="00D72E64" w:rsidP="00D72E64">
      <w:pPr>
        <w:rPr>
          <w:rFonts w:ascii="Tahoma" w:hAnsi="Tahoma" w:cs="Tahoma"/>
          <w:sz w:val="22"/>
          <w:szCs w:val="22"/>
        </w:rPr>
      </w:pPr>
    </w:p>
    <w:p w14:paraId="1BA56D23" w14:textId="4155706B" w:rsidR="00D72E64" w:rsidRPr="00F8560C" w:rsidRDefault="00CB5D3E" w:rsidP="00D72E64">
      <w:pPr>
        <w:rPr>
          <w:rFonts w:ascii="Tahoma" w:hAnsi="Tahoma" w:cs="Tahoma"/>
          <w:bCs/>
          <w:sz w:val="22"/>
          <w:szCs w:val="22"/>
        </w:rPr>
      </w:pPr>
      <w:r>
        <w:rPr>
          <w:rFonts w:ascii="Tahoma" w:hAnsi="Tahoma" w:cs="Tahoma"/>
          <w:bCs/>
          <w:sz w:val="22"/>
          <w:szCs w:val="22"/>
        </w:rPr>
        <w:t>Sollte in Erwägung gezogen werden,</w:t>
      </w:r>
      <w:r w:rsidR="00D72E64" w:rsidRPr="00F8560C">
        <w:rPr>
          <w:rFonts w:ascii="Tahoma" w:hAnsi="Tahoma" w:cs="Tahoma"/>
          <w:bCs/>
          <w:sz w:val="22"/>
          <w:szCs w:val="22"/>
        </w:rPr>
        <w:t xml:space="preserve"> den rechtlichen Weg zu beschreiten und </w:t>
      </w:r>
      <w:r>
        <w:rPr>
          <w:rFonts w:ascii="Tahoma" w:hAnsi="Tahoma" w:cs="Tahoma"/>
          <w:bCs/>
          <w:sz w:val="22"/>
          <w:szCs w:val="22"/>
        </w:rPr>
        <w:t>man an die</w:t>
      </w:r>
      <w:r w:rsidR="00D72E64" w:rsidRPr="00F8560C">
        <w:rPr>
          <w:rFonts w:ascii="Tahoma" w:hAnsi="Tahoma" w:cs="Tahoma"/>
          <w:bCs/>
          <w:sz w:val="22"/>
          <w:szCs w:val="22"/>
        </w:rPr>
        <w:t xml:space="preserve"> Unabhängige Beschwerdeinstanz für Radio und Fernsehen (UBI) </w:t>
      </w:r>
      <w:r>
        <w:rPr>
          <w:rFonts w:ascii="Tahoma" w:hAnsi="Tahoma" w:cs="Tahoma"/>
          <w:bCs/>
          <w:sz w:val="22"/>
          <w:szCs w:val="22"/>
        </w:rPr>
        <w:t>gelangen will</w:t>
      </w:r>
      <w:r w:rsidR="00D72E64" w:rsidRPr="00F8560C">
        <w:rPr>
          <w:rFonts w:ascii="Tahoma" w:hAnsi="Tahoma" w:cs="Tahoma"/>
          <w:bCs/>
          <w:sz w:val="22"/>
          <w:szCs w:val="22"/>
        </w:rPr>
        <w:t xml:space="preserve">, </w:t>
      </w:r>
      <w:r>
        <w:rPr>
          <w:rFonts w:ascii="Tahoma" w:hAnsi="Tahoma" w:cs="Tahoma"/>
          <w:bCs/>
          <w:sz w:val="22"/>
          <w:szCs w:val="22"/>
        </w:rPr>
        <w:t>findet sich im Anhang</w:t>
      </w:r>
      <w:r w:rsidR="00D72E64" w:rsidRPr="00F8560C">
        <w:rPr>
          <w:rFonts w:ascii="Tahoma" w:hAnsi="Tahoma" w:cs="Tahoma"/>
          <w:bCs/>
          <w:sz w:val="22"/>
          <w:szCs w:val="22"/>
        </w:rPr>
        <w:t xml:space="preserve"> </w:t>
      </w:r>
      <w:r>
        <w:rPr>
          <w:rFonts w:ascii="Tahoma" w:hAnsi="Tahoma" w:cs="Tahoma"/>
          <w:bCs/>
          <w:sz w:val="22"/>
          <w:szCs w:val="22"/>
        </w:rPr>
        <w:t>die Rechtsmittelbelehrung.</w:t>
      </w:r>
    </w:p>
    <w:p w14:paraId="56F89E2F" w14:textId="77777777" w:rsidR="00EE2BC0" w:rsidRPr="00F8560C" w:rsidRDefault="00EE2BC0" w:rsidP="00D72E64">
      <w:pPr>
        <w:rPr>
          <w:rFonts w:ascii="Tahoma" w:eastAsia="Calibri" w:hAnsi="Tahoma" w:cs="Tahoma"/>
          <w:sz w:val="22"/>
          <w:szCs w:val="22"/>
        </w:rPr>
      </w:pPr>
    </w:p>
    <w:p w14:paraId="2AFC1500" w14:textId="77777777" w:rsidR="00F602CF" w:rsidRPr="00F8560C" w:rsidRDefault="00F602CF" w:rsidP="00F602CF">
      <w:pPr>
        <w:rPr>
          <w:rFonts w:ascii="Tahoma" w:eastAsia="Calibri" w:hAnsi="Tahoma" w:cs="Tahoma"/>
          <w:sz w:val="22"/>
          <w:szCs w:val="22"/>
        </w:rPr>
      </w:pPr>
    </w:p>
    <w:p w14:paraId="06D9AB08" w14:textId="53E95E1B" w:rsidR="00847157" w:rsidRPr="00F8560C" w:rsidRDefault="00F602CF" w:rsidP="00147EFA">
      <w:pPr>
        <w:spacing w:line="240" w:lineRule="auto"/>
        <w:rPr>
          <w:rFonts w:ascii="Tahoma" w:eastAsia="Calibri" w:hAnsi="Tahoma" w:cs="Tahoma"/>
          <w:sz w:val="22"/>
          <w:szCs w:val="22"/>
        </w:rPr>
      </w:pPr>
      <w:r w:rsidRPr="00F8560C">
        <w:rPr>
          <w:rFonts w:ascii="Tahoma" w:eastAsia="Calibri" w:hAnsi="Tahoma" w:cs="Tahoma"/>
          <w:sz w:val="22"/>
          <w:szCs w:val="22"/>
        </w:rPr>
        <w:t>Mit freundlichen Grüssen</w:t>
      </w:r>
    </w:p>
    <w:p w14:paraId="227E08D2" w14:textId="5E1E8536" w:rsidR="00147EFA" w:rsidRPr="00F8560C" w:rsidRDefault="00147EFA" w:rsidP="00147EFA">
      <w:pPr>
        <w:spacing w:line="240" w:lineRule="auto"/>
        <w:rPr>
          <w:rFonts w:ascii="Tahoma" w:eastAsia="Calibri" w:hAnsi="Tahoma" w:cs="Tahoma"/>
          <w:sz w:val="22"/>
          <w:szCs w:val="22"/>
        </w:rPr>
      </w:pPr>
    </w:p>
    <w:p w14:paraId="29D036F3" w14:textId="653FCABD" w:rsidR="00661E36" w:rsidRPr="00F8560C" w:rsidRDefault="00D92BB1">
      <w:pPr>
        <w:rPr>
          <w:rFonts w:ascii="Tahoma" w:hAnsi="Tahoma" w:cs="Tahoma"/>
          <w:sz w:val="22"/>
          <w:szCs w:val="22"/>
        </w:rPr>
      </w:pPr>
      <w:r>
        <w:rPr>
          <w:rFonts w:ascii="Tahoma" w:eastAsia="Calibri" w:hAnsi="Tahoma" w:cs="Tahoma"/>
          <w:sz w:val="22"/>
          <w:szCs w:val="22"/>
        </w:rPr>
        <w:t>Ombudsstelle SRG Deutschschweiz</w:t>
      </w:r>
    </w:p>
    <w:sectPr w:rsidR="00661E36" w:rsidRPr="00F8560C" w:rsidSect="006E2E7D">
      <w:headerReference w:type="even" r:id="rId17"/>
      <w:headerReference w:type="default" r:id="rId18"/>
      <w:footerReference w:type="even" r:id="rId19"/>
      <w:footerReference w:type="default" r:id="rId20"/>
      <w:headerReference w:type="first" r:id="rId21"/>
      <w:footerReference w:type="first" r:id="rId22"/>
      <w:pgSz w:w="11906" w:h="16838"/>
      <w:pgMar w:top="1276"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AF09A" w14:textId="77777777" w:rsidR="0055684A" w:rsidRDefault="0055684A" w:rsidP="00354779">
      <w:pPr>
        <w:spacing w:line="240" w:lineRule="auto"/>
      </w:pPr>
      <w:r>
        <w:separator/>
      </w:r>
    </w:p>
  </w:endnote>
  <w:endnote w:type="continuationSeparator" w:id="0">
    <w:p w14:paraId="61F05CB8" w14:textId="77777777" w:rsidR="0055684A" w:rsidRDefault="0055684A" w:rsidP="00354779">
      <w:pPr>
        <w:spacing w:line="240" w:lineRule="auto"/>
      </w:pPr>
      <w:r>
        <w:continuationSeparator/>
      </w:r>
    </w:p>
  </w:endnote>
  <w:endnote w:type="continuationNotice" w:id="1">
    <w:p w14:paraId="7BD505F1" w14:textId="77777777" w:rsidR="0055684A" w:rsidRDefault="0055684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RG SSR Type">
    <w:panose1 w:val="020B0504030602030204"/>
    <w:charset w:val="00"/>
    <w:family w:val="swiss"/>
    <w:pitch w:val="variable"/>
    <w:sig w:usb0="A00000A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445DD" w14:textId="77777777" w:rsidR="002B6F76" w:rsidRDefault="002B6F7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RG SSR Type" w:hAnsi="SRG SSR Type"/>
        <w:sz w:val="24"/>
        <w:szCs w:val="24"/>
      </w:rPr>
      <w:id w:val="996544022"/>
      <w:docPartObj>
        <w:docPartGallery w:val="Page Numbers (Bottom of Page)"/>
        <w:docPartUnique/>
      </w:docPartObj>
    </w:sdtPr>
    <w:sdtEndPr/>
    <w:sdtContent>
      <w:p w14:paraId="0687C710" w14:textId="44CBE89F" w:rsidR="00354779" w:rsidRPr="00D72E64" w:rsidRDefault="00354779" w:rsidP="002B6F76">
        <w:pPr>
          <w:pStyle w:val="Fuzeile"/>
          <w:tabs>
            <w:tab w:val="clear" w:pos="4513"/>
          </w:tabs>
          <w:rPr>
            <w:rFonts w:ascii="SRG SSR Type" w:hAnsi="SRG SSR Type"/>
            <w:sz w:val="24"/>
            <w:szCs w:val="24"/>
          </w:rPr>
        </w:pPr>
        <w:r w:rsidRPr="00D72E64">
          <w:rPr>
            <w:rFonts w:ascii="SRG SSR Type" w:hAnsi="SRG SSR Type"/>
            <w:sz w:val="24"/>
            <w:szCs w:val="24"/>
          </w:rPr>
          <w:fldChar w:fldCharType="begin"/>
        </w:r>
        <w:r w:rsidRPr="00D72E64">
          <w:rPr>
            <w:rFonts w:ascii="SRG SSR Type" w:hAnsi="SRG SSR Type"/>
            <w:sz w:val="24"/>
            <w:szCs w:val="24"/>
          </w:rPr>
          <w:instrText>PAGE   \* MERGEFORMAT</w:instrText>
        </w:r>
        <w:r w:rsidRPr="00D72E64">
          <w:rPr>
            <w:rFonts w:ascii="SRG SSR Type" w:hAnsi="SRG SSR Type"/>
            <w:sz w:val="24"/>
            <w:szCs w:val="24"/>
          </w:rPr>
          <w:fldChar w:fldCharType="separate"/>
        </w:r>
        <w:r w:rsidRPr="00D72E64">
          <w:rPr>
            <w:rFonts w:ascii="SRG SSR Type" w:hAnsi="SRG SSR Type"/>
            <w:sz w:val="24"/>
            <w:szCs w:val="24"/>
            <w:lang w:val="de-DE"/>
          </w:rPr>
          <w:t>2</w:t>
        </w:r>
        <w:r w:rsidRPr="00D72E64">
          <w:rPr>
            <w:rFonts w:ascii="SRG SSR Type" w:hAnsi="SRG SSR Type"/>
            <w:sz w:val="24"/>
            <w:szCs w:val="24"/>
          </w:rPr>
          <w:fldChar w:fldCharType="end"/>
        </w:r>
        <w:r w:rsidRPr="00D72E64">
          <w:rPr>
            <w:rFonts w:ascii="SRG SSR Type" w:hAnsi="SRG SSR Type"/>
            <w:sz w:val="24"/>
            <w:szCs w:val="24"/>
          </w:rPr>
          <w:tab/>
        </w:r>
        <w:r w:rsidRPr="00D72E64">
          <w:rPr>
            <w:rFonts w:ascii="SRG SSR Type" w:hAnsi="SRG SSR Type"/>
            <w:b/>
            <w:bCs/>
            <w:sz w:val="24"/>
            <w:szCs w:val="24"/>
          </w:rPr>
          <w:t xml:space="preserve">Ombudsstelle </w:t>
        </w:r>
        <w:r w:rsidRPr="00D72E64">
          <w:rPr>
            <w:rFonts w:ascii="SRG SSR Type" w:hAnsi="SRG SSR Type"/>
            <w:sz w:val="24"/>
            <w:szCs w:val="24"/>
          </w:rPr>
          <w:t>SRG Deutschschweiz</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8F3C2" w14:textId="77777777" w:rsidR="002B6F76" w:rsidRDefault="002B6F7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B2F86" w14:textId="77777777" w:rsidR="0055684A" w:rsidRDefault="0055684A" w:rsidP="00354779">
      <w:pPr>
        <w:spacing w:line="240" w:lineRule="auto"/>
      </w:pPr>
      <w:r>
        <w:separator/>
      </w:r>
    </w:p>
  </w:footnote>
  <w:footnote w:type="continuationSeparator" w:id="0">
    <w:p w14:paraId="7F8DE933" w14:textId="77777777" w:rsidR="0055684A" w:rsidRDefault="0055684A" w:rsidP="00354779">
      <w:pPr>
        <w:spacing w:line="240" w:lineRule="auto"/>
      </w:pPr>
      <w:r>
        <w:continuationSeparator/>
      </w:r>
    </w:p>
  </w:footnote>
  <w:footnote w:type="continuationNotice" w:id="1">
    <w:p w14:paraId="41DF1A5F" w14:textId="77777777" w:rsidR="0055684A" w:rsidRDefault="0055684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086DF" w14:textId="77777777" w:rsidR="002B6F76" w:rsidRDefault="002B6F7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B2ACE" w14:textId="0263C533" w:rsidR="002B6F76" w:rsidRDefault="002B6F76" w:rsidP="00820C25">
    <w:pPr>
      <w:pStyle w:val="Kopfzeile"/>
      <w:tabs>
        <w:tab w:val="clear" w:pos="4513"/>
        <w:tab w:val="clear" w:pos="9026"/>
        <w:tab w:val="left" w:pos="694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99785" w14:textId="77777777" w:rsidR="002B6F76" w:rsidRDefault="002B6F7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E553F"/>
    <w:multiLevelType w:val="multilevel"/>
    <w:tmpl w:val="2AA45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A15DD"/>
    <w:multiLevelType w:val="hybridMultilevel"/>
    <w:tmpl w:val="2226624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AE617FA"/>
    <w:multiLevelType w:val="multilevel"/>
    <w:tmpl w:val="057A5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7A515B"/>
    <w:multiLevelType w:val="hybridMultilevel"/>
    <w:tmpl w:val="912260AE"/>
    <w:lvl w:ilvl="0" w:tplc="8E0A81BC">
      <w:numFmt w:val="bullet"/>
      <w:lvlText w:val="-"/>
      <w:lvlJc w:val="left"/>
      <w:pPr>
        <w:ind w:left="720" w:hanging="360"/>
      </w:pPr>
      <w:rPr>
        <w:rFonts w:ascii="Tahoma" w:eastAsia="MS Mincho" w:hAnsi="Tahoma" w:cs="Tahom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62F0A74"/>
    <w:multiLevelType w:val="multilevel"/>
    <w:tmpl w:val="8FDA1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97367E"/>
    <w:multiLevelType w:val="multilevel"/>
    <w:tmpl w:val="8BB05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4C322D"/>
    <w:multiLevelType w:val="hybridMultilevel"/>
    <w:tmpl w:val="0060DA14"/>
    <w:lvl w:ilvl="0" w:tplc="2F0094C0">
      <w:start w:val="4"/>
      <w:numFmt w:val="bullet"/>
      <w:lvlText w:val="-"/>
      <w:lvlJc w:val="left"/>
      <w:pPr>
        <w:ind w:left="720" w:hanging="360"/>
      </w:pPr>
      <w:rPr>
        <w:rFonts w:ascii="Tahoma" w:eastAsia="Calibri"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037118D"/>
    <w:multiLevelType w:val="multilevel"/>
    <w:tmpl w:val="E996A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D10576"/>
    <w:multiLevelType w:val="multilevel"/>
    <w:tmpl w:val="6D049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DE0953"/>
    <w:multiLevelType w:val="multilevel"/>
    <w:tmpl w:val="AF7CB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2B400E"/>
    <w:multiLevelType w:val="hybridMultilevel"/>
    <w:tmpl w:val="7CBA531A"/>
    <w:lvl w:ilvl="0" w:tplc="57B29AF0">
      <w:numFmt w:val="bullet"/>
      <w:lvlText w:val="-"/>
      <w:lvlJc w:val="left"/>
      <w:pPr>
        <w:ind w:left="720" w:hanging="360"/>
      </w:pPr>
      <w:rPr>
        <w:rFonts w:ascii="Tahoma" w:eastAsia="MS Mincho" w:hAnsi="Tahoma" w:cs="Tahom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D7A6949"/>
    <w:multiLevelType w:val="multilevel"/>
    <w:tmpl w:val="CBB68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FF5022"/>
    <w:multiLevelType w:val="multilevel"/>
    <w:tmpl w:val="02B08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D012B7"/>
    <w:multiLevelType w:val="multilevel"/>
    <w:tmpl w:val="3F7C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0B2B56"/>
    <w:multiLevelType w:val="multilevel"/>
    <w:tmpl w:val="5C4A1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7307D1"/>
    <w:multiLevelType w:val="multilevel"/>
    <w:tmpl w:val="3AE6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C10EA4"/>
    <w:multiLevelType w:val="hybridMultilevel"/>
    <w:tmpl w:val="66ECC37E"/>
    <w:lvl w:ilvl="0" w:tplc="863E77D4">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78827413"/>
    <w:multiLevelType w:val="multilevel"/>
    <w:tmpl w:val="81400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853386"/>
    <w:multiLevelType w:val="multilevel"/>
    <w:tmpl w:val="D7849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2473715">
    <w:abstractNumId w:val="6"/>
  </w:num>
  <w:num w:numId="2" w16cid:durableId="1373652049">
    <w:abstractNumId w:val="10"/>
  </w:num>
  <w:num w:numId="3" w16cid:durableId="196159189">
    <w:abstractNumId w:val="3"/>
  </w:num>
  <w:num w:numId="4" w16cid:durableId="330839908">
    <w:abstractNumId w:val="7"/>
  </w:num>
  <w:num w:numId="5" w16cid:durableId="447773205">
    <w:abstractNumId w:val="4"/>
  </w:num>
  <w:num w:numId="6" w16cid:durableId="1236009248">
    <w:abstractNumId w:val="9"/>
  </w:num>
  <w:num w:numId="7" w16cid:durableId="370307359">
    <w:abstractNumId w:val="8"/>
  </w:num>
  <w:num w:numId="8" w16cid:durableId="1693069718">
    <w:abstractNumId w:val="18"/>
  </w:num>
  <w:num w:numId="9" w16cid:durableId="845438747">
    <w:abstractNumId w:val="2"/>
  </w:num>
  <w:num w:numId="10" w16cid:durableId="736628851">
    <w:abstractNumId w:val="14"/>
  </w:num>
  <w:num w:numId="11" w16cid:durableId="1836647200">
    <w:abstractNumId w:val="17"/>
  </w:num>
  <w:num w:numId="12" w16cid:durableId="1814180844">
    <w:abstractNumId w:val="0"/>
  </w:num>
  <w:num w:numId="13" w16cid:durableId="229924872">
    <w:abstractNumId w:val="5"/>
  </w:num>
  <w:num w:numId="14" w16cid:durableId="781073947">
    <w:abstractNumId w:val="11"/>
  </w:num>
  <w:num w:numId="15" w16cid:durableId="1194228292">
    <w:abstractNumId w:val="13"/>
  </w:num>
  <w:num w:numId="16" w16cid:durableId="178782837">
    <w:abstractNumId w:val="12"/>
  </w:num>
  <w:num w:numId="17" w16cid:durableId="1301956503">
    <w:abstractNumId w:val="15"/>
  </w:num>
  <w:num w:numId="18" w16cid:durableId="1337422897">
    <w:abstractNumId w:val="16"/>
  </w:num>
  <w:num w:numId="19" w16cid:durableId="1252809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779"/>
    <w:rsid w:val="000001D4"/>
    <w:rsid w:val="000003DD"/>
    <w:rsid w:val="00001C8D"/>
    <w:rsid w:val="00001CCF"/>
    <w:rsid w:val="00003C61"/>
    <w:rsid w:val="00004B38"/>
    <w:rsid w:val="00010FDD"/>
    <w:rsid w:val="000115F8"/>
    <w:rsid w:val="00012338"/>
    <w:rsid w:val="00012EEC"/>
    <w:rsid w:val="00020AE7"/>
    <w:rsid w:val="0002110A"/>
    <w:rsid w:val="00021A26"/>
    <w:rsid w:val="00022DB3"/>
    <w:rsid w:val="00024A6F"/>
    <w:rsid w:val="000263E8"/>
    <w:rsid w:val="0003053F"/>
    <w:rsid w:val="00030D67"/>
    <w:rsid w:val="00030DFB"/>
    <w:rsid w:val="00031307"/>
    <w:rsid w:val="00035A1A"/>
    <w:rsid w:val="00035C4F"/>
    <w:rsid w:val="00035DA2"/>
    <w:rsid w:val="00035F40"/>
    <w:rsid w:val="00035F84"/>
    <w:rsid w:val="00036CC1"/>
    <w:rsid w:val="00037361"/>
    <w:rsid w:val="00037DB6"/>
    <w:rsid w:val="000434C8"/>
    <w:rsid w:val="000443F4"/>
    <w:rsid w:val="00045F0B"/>
    <w:rsid w:val="00055FC1"/>
    <w:rsid w:val="00057BC1"/>
    <w:rsid w:val="0006340D"/>
    <w:rsid w:val="00064474"/>
    <w:rsid w:val="0006534D"/>
    <w:rsid w:val="0006614B"/>
    <w:rsid w:val="00071587"/>
    <w:rsid w:val="00073C1A"/>
    <w:rsid w:val="00073D6D"/>
    <w:rsid w:val="00075781"/>
    <w:rsid w:val="000762CC"/>
    <w:rsid w:val="00076D78"/>
    <w:rsid w:val="00077C80"/>
    <w:rsid w:val="00080010"/>
    <w:rsid w:val="00080ECF"/>
    <w:rsid w:val="000812AF"/>
    <w:rsid w:val="00083EF7"/>
    <w:rsid w:val="00084242"/>
    <w:rsid w:val="0008514A"/>
    <w:rsid w:val="0009077E"/>
    <w:rsid w:val="0009101F"/>
    <w:rsid w:val="0009452A"/>
    <w:rsid w:val="00096FCC"/>
    <w:rsid w:val="00097857"/>
    <w:rsid w:val="000A2474"/>
    <w:rsid w:val="000A2522"/>
    <w:rsid w:val="000A31D6"/>
    <w:rsid w:val="000A5A72"/>
    <w:rsid w:val="000A5EFC"/>
    <w:rsid w:val="000A6B14"/>
    <w:rsid w:val="000A7464"/>
    <w:rsid w:val="000B0130"/>
    <w:rsid w:val="000B0E97"/>
    <w:rsid w:val="000B186A"/>
    <w:rsid w:val="000B237D"/>
    <w:rsid w:val="000B28BC"/>
    <w:rsid w:val="000B4583"/>
    <w:rsid w:val="000B4B56"/>
    <w:rsid w:val="000B50A7"/>
    <w:rsid w:val="000B6785"/>
    <w:rsid w:val="000B7FC3"/>
    <w:rsid w:val="000C03B3"/>
    <w:rsid w:val="000C069D"/>
    <w:rsid w:val="000C0F6D"/>
    <w:rsid w:val="000C1049"/>
    <w:rsid w:val="000C1587"/>
    <w:rsid w:val="000C24A3"/>
    <w:rsid w:val="000C26A7"/>
    <w:rsid w:val="000C2E17"/>
    <w:rsid w:val="000C3917"/>
    <w:rsid w:val="000C45E7"/>
    <w:rsid w:val="000C5EC2"/>
    <w:rsid w:val="000C6BC5"/>
    <w:rsid w:val="000C786B"/>
    <w:rsid w:val="000C78CE"/>
    <w:rsid w:val="000D17F5"/>
    <w:rsid w:val="000D186A"/>
    <w:rsid w:val="000D42F3"/>
    <w:rsid w:val="000D48DA"/>
    <w:rsid w:val="000D6215"/>
    <w:rsid w:val="000D6A6D"/>
    <w:rsid w:val="000E0FD0"/>
    <w:rsid w:val="000E15A5"/>
    <w:rsid w:val="000E1D85"/>
    <w:rsid w:val="000E2084"/>
    <w:rsid w:val="000E247E"/>
    <w:rsid w:val="000E34B0"/>
    <w:rsid w:val="000E3A7D"/>
    <w:rsid w:val="000E5855"/>
    <w:rsid w:val="000E658E"/>
    <w:rsid w:val="000E6D2A"/>
    <w:rsid w:val="000F1EC4"/>
    <w:rsid w:val="000F3232"/>
    <w:rsid w:val="000F49C8"/>
    <w:rsid w:val="000F4E31"/>
    <w:rsid w:val="000F5CA4"/>
    <w:rsid w:val="000F615B"/>
    <w:rsid w:val="00100C06"/>
    <w:rsid w:val="00103DD6"/>
    <w:rsid w:val="001051B5"/>
    <w:rsid w:val="00105BBD"/>
    <w:rsid w:val="00107568"/>
    <w:rsid w:val="00112216"/>
    <w:rsid w:val="00113173"/>
    <w:rsid w:val="00113989"/>
    <w:rsid w:val="00113FBF"/>
    <w:rsid w:val="001170BC"/>
    <w:rsid w:val="00117BFA"/>
    <w:rsid w:val="00120436"/>
    <w:rsid w:val="001229FF"/>
    <w:rsid w:val="0012357D"/>
    <w:rsid w:val="001240D4"/>
    <w:rsid w:val="00124EE2"/>
    <w:rsid w:val="00125B70"/>
    <w:rsid w:val="001271FE"/>
    <w:rsid w:val="001320A5"/>
    <w:rsid w:val="001333AB"/>
    <w:rsid w:val="0013356B"/>
    <w:rsid w:val="00134095"/>
    <w:rsid w:val="001342D5"/>
    <w:rsid w:val="00135712"/>
    <w:rsid w:val="001361EC"/>
    <w:rsid w:val="00137BA2"/>
    <w:rsid w:val="001409F1"/>
    <w:rsid w:val="00141256"/>
    <w:rsid w:val="00141AD5"/>
    <w:rsid w:val="00143C7C"/>
    <w:rsid w:val="00144820"/>
    <w:rsid w:val="00146781"/>
    <w:rsid w:val="00146ED6"/>
    <w:rsid w:val="00147A90"/>
    <w:rsid w:val="00147EFA"/>
    <w:rsid w:val="001503FA"/>
    <w:rsid w:val="00153A65"/>
    <w:rsid w:val="00154A82"/>
    <w:rsid w:val="00155806"/>
    <w:rsid w:val="001572F7"/>
    <w:rsid w:val="00157F15"/>
    <w:rsid w:val="001604B3"/>
    <w:rsid w:val="00161F17"/>
    <w:rsid w:val="00162146"/>
    <w:rsid w:val="001651C3"/>
    <w:rsid w:val="001655A5"/>
    <w:rsid w:val="001658A9"/>
    <w:rsid w:val="001670DA"/>
    <w:rsid w:val="001679D9"/>
    <w:rsid w:val="0017077C"/>
    <w:rsid w:val="00171A49"/>
    <w:rsid w:val="00175CE2"/>
    <w:rsid w:val="00176142"/>
    <w:rsid w:val="00176C60"/>
    <w:rsid w:val="00177E84"/>
    <w:rsid w:val="00180194"/>
    <w:rsid w:val="001823E8"/>
    <w:rsid w:val="00182C2C"/>
    <w:rsid w:val="00182F2A"/>
    <w:rsid w:val="0018491B"/>
    <w:rsid w:val="0018523C"/>
    <w:rsid w:val="001877BF"/>
    <w:rsid w:val="001901F8"/>
    <w:rsid w:val="00191E8D"/>
    <w:rsid w:val="001939A0"/>
    <w:rsid w:val="00194639"/>
    <w:rsid w:val="001953BF"/>
    <w:rsid w:val="00195684"/>
    <w:rsid w:val="00197E77"/>
    <w:rsid w:val="001A1C4E"/>
    <w:rsid w:val="001A1F0A"/>
    <w:rsid w:val="001A61D3"/>
    <w:rsid w:val="001A708E"/>
    <w:rsid w:val="001A7A59"/>
    <w:rsid w:val="001B162F"/>
    <w:rsid w:val="001B1EF6"/>
    <w:rsid w:val="001B22D2"/>
    <w:rsid w:val="001B5AE5"/>
    <w:rsid w:val="001B5C6E"/>
    <w:rsid w:val="001C0CF6"/>
    <w:rsid w:val="001C2A66"/>
    <w:rsid w:val="001C3974"/>
    <w:rsid w:val="001C458B"/>
    <w:rsid w:val="001C55E7"/>
    <w:rsid w:val="001C62AC"/>
    <w:rsid w:val="001D50CB"/>
    <w:rsid w:val="001D6B62"/>
    <w:rsid w:val="001D7BF0"/>
    <w:rsid w:val="001E09EB"/>
    <w:rsid w:val="001E16C4"/>
    <w:rsid w:val="001E23DE"/>
    <w:rsid w:val="001E2DD1"/>
    <w:rsid w:val="001E3004"/>
    <w:rsid w:val="001E518D"/>
    <w:rsid w:val="001E5BBC"/>
    <w:rsid w:val="001E5F97"/>
    <w:rsid w:val="001E6FEC"/>
    <w:rsid w:val="001E7DA3"/>
    <w:rsid w:val="001F00C0"/>
    <w:rsid w:val="001F0BB5"/>
    <w:rsid w:val="001F0BCF"/>
    <w:rsid w:val="001F3AD0"/>
    <w:rsid w:val="001F4E77"/>
    <w:rsid w:val="001F5918"/>
    <w:rsid w:val="001F64C0"/>
    <w:rsid w:val="00202055"/>
    <w:rsid w:val="0020238E"/>
    <w:rsid w:val="00202929"/>
    <w:rsid w:val="0020306E"/>
    <w:rsid w:val="00203CCB"/>
    <w:rsid w:val="00205B72"/>
    <w:rsid w:val="002078BD"/>
    <w:rsid w:val="00210B2B"/>
    <w:rsid w:val="00210FB3"/>
    <w:rsid w:val="00211B7F"/>
    <w:rsid w:val="0021220B"/>
    <w:rsid w:val="00214181"/>
    <w:rsid w:val="00214D51"/>
    <w:rsid w:val="00215370"/>
    <w:rsid w:val="00215547"/>
    <w:rsid w:val="002175A6"/>
    <w:rsid w:val="00220859"/>
    <w:rsid w:val="00221CF9"/>
    <w:rsid w:val="00221F52"/>
    <w:rsid w:val="00222452"/>
    <w:rsid w:val="00222777"/>
    <w:rsid w:val="002229F7"/>
    <w:rsid w:val="002235D4"/>
    <w:rsid w:val="0022436F"/>
    <w:rsid w:val="002269F8"/>
    <w:rsid w:val="002271EE"/>
    <w:rsid w:val="00227B06"/>
    <w:rsid w:val="00230692"/>
    <w:rsid w:val="00231BF8"/>
    <w:rsid w:val="00232041"/>
    <w:rsid w:val="002341CF"/>
    <w:rsid w:val="00235E75"/>
    <w:rsid w:val="002417E6"/>
    <w:rsid w:val="002432D1"/>
    <w:rsid w:val="002461D7"/>
    <w:rsid w:val="00250659"/>
    <w:rsid w:val="002548A4"/>
    <w:rsid w:val="00254AD3"/>
    <w:rsid w:val="00254DD9"/>
    <w:rsid w:val="00256268"/>
    <w:rsid w:val="00261008"/>
    <w:rsid w:val="002652D8"/>
    <w:rsid w:val="0026575F"/>
    <w:rsid w:val="00266ADC"/>
    <w:rsid w:val="0026796E"/>
    <w:rsid w:val="00267A1D"/>
    <w:rsid w:val="00272C61"/>
    <w:rsid w:val="00272FA6"/>
    <w:rsid w:val="00273F00"/>
    <w:rsid w:val="002745A0"/>
    <w:rsid w:val="00275C11"/>
    <w:rsid w:val="00280945"/>
    <w:rsid w:val="00285B6B"/>
    <w:rsid w:val="00287309"/>
    <w:rsid w:val="002908B4"/>
    <w:rsid w:val="002926F5"/>
    <w:rsid w:val="00293240"/>
    <w:rsid w:val="00293EAC"/>
    <w:rsid w:val="00294E9D"/>
    <w:rsid w:val="002A18A3"/>
    <w:rsid w:val="002A1B85"/>
    <w:rsid w:val="002A3548"/>
    <w:rsid w:val="002A35A4"/>
    <w:rsid w:val="002A3876"/>
    <w:rsid w:val="002A3AD9"/>
    <w:rsid w:val="002A4925"/>
    <w:rsid w:val="002A7B2E"/>
    <w:rsid w:val="002B10E6"/>
    <w:rsid w:val="002B16E7"/>
    <w:rsid w:val="002B1BFD"/>
    <w:rsid w:val="002B39A3"/>
    <w:rsid w:val="002B4876"/>
    <w:rsid w:val="002B57EF"/>
    <w:rsid w:val="002B6F76"/>
    <w:rsid w:val="002C17B9"/>
    <w:rsid w:val="002C1CBE"/>
    <w:rsid w:val="002C34D8"/>
    <w:rsid w:val="002C41C1"/>
    <w:rsid w:val="002C486E"/>
    <w:rsid w:val="002C5894"/>
    <w:rsid w:val="002C6559"/>
    <w:rsid w:val="002C76FE"/>
    <w:rsid w:val="002C78F4"/>
    <w:rsid w:val="002D0C39"/>
    <w:rsid w:val="002D3ABF"/>
    <w:rsid w:val="002D4EC2"/>
    <w:rsid w:val="002D5930"/>
    <w:rsid w:val="002D5C90"/>
    <w:rsid w:val="002D735E"/>
    <w:rsid w:val="002E1C3D"/>
    <w:rsid w:val="002E3348"/>
    <w:rsid w:val="002E3817"/>
    <w:rsid w:val="002E404E"/>
    <w:rsid w:val="002E5A1F"/>
    <w:rsid w:val="002E62E1"/>
    <w:rsid w:val="002E634A"/>
    <w:rsid w:val="002E7197"/>
    <w:rsid w:val="002E7660"/>
    <w:rsid w:val="002E7685"/>
    <w:rsid w:val="002F0C42"/>
    <w:rsid w:val="002F17C6"/>
    <w:rsid w:val="002F3A44"/>
    <w:rsid w:val="002F4C94"/>
    <w:rsid w:val="002F4E62"/>
    <w:rsid w:val="002F6FE4"/>
    <w:rsid w:val="002F7E18"/>
    <w:rsid w:val="00300072"/>
    <w:rsid w:val="00300DC0"/>
    <w:rsid w:val="00302C2C"/>
    <w:rsid w:val="00302D15"/>
    <w:rsid w:val="003031EF"/>
    <w:rsid w:val="00303A74"/>
    <w:rsid w:val="00304C97"/>
    <w:rsid w:val="00305C9B"/>
    <w:rsid w:val="0030659C"/>
    <w:rsid w:val="00312FF4"/>
    <w:rsid w:val="003177C3"/>
    <w:rsid w:val="003229E0"/>
    <w:rsid w:val="00322AF8"/>
    <w:rsid w:val="00323088"/>
    <w:rsid w:val="00336FA9"/>
    <w:rsid w:val="00337340"/>
    <w:rsid w:val="00344096"/>
    <w:rsid w:val="00344996"/>
    <w:rsid w:val="00346B85"/>
    <w:rsid w:val="00347EC1"/>
    <w:rsid w:val="0035061F"/>
    <w:rsid w:val="003521D0"/>
    <w:rsid w:val="00354779"/>
    <w:rsid w:val="00355806"/>
    <w:rsid w:val="0036075E"/>
    <w:rsid w:val="00361A45"/>
    <w:rsid w:val="003639FD"/>
    <w:rsid w:val="00366CB3"/>
    <w:rsid w:val="003736E5"/>
    <w:rsid w:val="00374616"/>
    <w:rsid w:val="0037480B"/>
    <w:rsid w:val="00374D6F"/>
    <w:rsid w:val="003751C5"/>
    <w:rsid w:val="00381BC5"/>
    <w:rsid w:val="00382871"/>
    <w:rsid w:val="003828D2"/>
    <w:rsid w:val="00382C3C"/>
    <w:rsid w:val="003834AE"/>
    <w:rsid w:val="00384D96"/>
    <w:rsid w:val="00386C9A"/>
    <w:rsid w:val="00386CDF"/>
    <w:rsid w:val="00391044"/>
    <w:rsid w:val="003945D5"/>
    <w:rsid w:val="00395975"/>
    <w:rsid w:val="00395C4A"/>
    <w:rsid w:val="003962B9"/>
    <w:rsid w:val="0039740A"/>
    <w:rsid w:val="0039759B"/>
    <w:rsid w:val="00397F46"/>
    <w:rsid w:val="003A0307"/>
    <w:rsid w:val="003A1397"/>
    <w:rsid w:val="003A1D58"/>
    <w:rsid w:val="003A3625"/>
    <w:rsid w:val="003A4337"/>
    <w:rsid w:val="003A6238"/>
    <w:rsid w:val="003B0B0E"/>
    <w:rsid w:val="003B29A7"/>
    <w:rsid w:val="003B2C44"/>
    <w:rsid w:val="003B5DF1"/>
    <w:rsid w:val="003B6D7E"/>
    <w:rsid w:val="003B7B20"/>
    <w:rsid w:val="003C1E83"/>
    <w:rsid w:val="003C25A0"/>
    <w:rsid w:val="003C2F77"/>
    <w:rsid w:val="003C309F"/>
    <w:rsid w:val="003C47FE"/>
    <w:rsid w:val="003C6268"/>
    <w:rsid w:val="003C6621"/>
    <w:rsid w:val="003D062E"/>
    <w:rsid w:val="003D2236"/>
    <w:rsid w:val="003D4528"/>
    <w:rsid w:val="003E1BDC"/>
    <w:rsid w:val="003E3836"/>
    <w:rsid w:val="003E4863"/>
    <w:rsid w:val="003E4B9F"/>
    <w:rsid w:val="003E695A"/>
    <w:rsid w:val="003E71CE"/>
    <w:rsid w:val="003E7B5F"/>
    <w:rsid w:val="003F0944"/>
    <w:rsid w:val="003F09FB"/>
    <w:rsid w:val="003F15E0"/>
    <w:rsid w:val="003F18B4"/>
    <w:rsid w:val="003F54AD"/>
    <w:rsid w:val="003F57C4"/>
    <w:rsid w:val="003F718B"/>
    <w:rsid w:val="0040177F"/>
    <w:rsid w:val="00403C9C"/>
    <w:rsid w:val="00404E38"/>
    <w:rsid w:val="004052E8"/>
    <w:rsid w:val="0040640E"/>
    <w:rsid w:val="00410544"/>
    <w:rsid w:val="00410D7D"/>
    <w:rsid w:val="00411C3B"/>
    <w:rsid w:val="0041375D"/>
    <w:rsid w:val="00413C3A"/>
    <w:rsid w:val="00414ADA"/>
    <w:rsid w:val="00414D97"/>
    <w:rsid w:val="00415183"/>
    <w:rsid w:val="00416F82"/>
    <w:rsid w:val="00417958"/>
    <w:rsid w:val="00417980"/>
    <w:rsid w:val="00420BEF"/>
    <w:rsid w:val="00424F51"/>
    <w:rsid w:val="00426390"/>
    <w:rsid w:val="004269E5"/>
    <w:rsid w:val="00426BC5"/>
    <w:rsid w:val="0043000A"/>
    <w:rsid w:val="00430BD3"/>
    <w:rsid w:val="0043143D"/>
    <w:rsid w:val="00431883"/>
    <w:rsid w:val="0043200D"/>
    <w:rsid w:val="004339B9"/>
    <w:rsid w:val="00436306"/>
    <w:rsid w:val="004439F0"/>
    <w:rsid w:val="004439F1"/>
    <w:rsid w:val="00443C90"/>
    <w:rsid w:val="004451A5"/>
    <w:rsid w:val="00451A1B"/>
    <w:rsid w:val="0045308D"/>
    <w:rsid w:val="0045352F"/>
    <w:rsid w:val="00453AAE"/>
    <w:rsid w:val="0045411A"/>
    <w:rsid w:val="004564D3"/>
    <w:rsid w:val="00461A2F"/>
    <w:rsid w:val="0046696A"/>
    <w:rsid w:val="00467023"/>
    <w:rsid w:val="0046771C"/>
    <w:rsid w:val="004702C7"/>
    <w:rsid w:val="00470BA0"/>
    <w:rsid w:val="00471059"/>
    <w:rsid w:val="004712E0"/>
    <w:rsid w:val="00471D8A"/>
    <w:rsid w:val="0047263E"/>
    <w:rsid w:val="00472939"/>
    <w:rsid w:val="00472AC1"/>
    <w:rsid w:val="004731A2"/>
    <w:rsid w:val="00473286"/>
    <w:rsid w:val="00474D50"/>
    <w:rsid w:val="00477965"/>
    <w:rsid w:val="00480C74"/>
    <w:rsid w:val="004816BA"/>
    <w:rsid w:val="00482331"/>
    <w:rsid w:val="00482DCA"/>
    <w:rsid w:val="004854D1"/>
    <w:rsid w:val="00486CBB"/>
    <w:rsid w:val="00486EF7"/>
    <w:rsid w:val="004878F0"/>
    <w:rsid w:val="0049094E"/>
    <w:rsid w:val="00491EC5"/>
    <w:rsid w:val="0049339A"/>
    <w:rsid w:val="00494787"/>
    <w:rsid w:val="004966A6"/>
    <w:rsid w:val="004976DD"/>
    <w:rsid w:val="004A0651"/>
    <w:rsid w:val="004A1794"/>
    <w:rsid w:val="004A363D"/>
    <w:rsid w:val="004A3A53"/>
    <w:rsid w:val="004A4693"/>
    <w:rsid w:val="004A52C7"/>
    <w:rsid w:val="004A6D2F"/>
    <w:rsid w:val="004A75B0"/>
    <w:rsid w:val="004A7FD2"/>
    <w:rsid w:val="004B143F"/>
    <w:rsid w:val="004B1CFA"/>
    <w:rsid w:val="004B272A"/>
    <w:rsid w:val="004B2B5C"/>
    <w:rsid w:val="004B37C1"/>
    <w:rsid w:val="004B62DC"/>
    <w:rsid w:val="004B783D"/>
    <w:rsid w:val="004B7A04"/>
    <w:rsid w:val="004C37F4"/>
    <w:rsid w:val="004C3F3C"/>
    <w:rsid w:val="004C4251"/>
    <w:rsid w:val="004C494E"/>
    <w:rsid w:val="004C49D5"/>
    <w:rsid w:val="004C5106"/>
    <w:rsid w:val="004C5AD2"/>
    <w:rsid w:val="004C6134"/>
    <w:rsid w:val="004C69C1"/>
    <w:rsid w:val="004D08E0"/>
    <w:rsid w:val="004D24FD"/>
    <w:rsid w:val="004D2B4E"/>
    <w:rsid w:val="004D2D4F"/>
    <w:rsid w:val="004D51EB"/>
    <w:rsid w:val="004D65CF"/>
    <w:rsid w:val="004E04F4"/>
    <w:rsid w:val="004E30FE"/>
    <w:rsid w:val="004E3F5B"/>
    <w:rsid w:val="004E4ADC"/>
    <w:rsid w:val="004E528A"/>
    <w:rsid w:val="004E5390"/>
    <w:rsid w:val="004E6E29"/>
    <w:rsid w:val="004F0632"/>
    <w:rsid w:val="004F171E"/>
    <w:rsid w:val="004F272A"/>
    <w:rsid w:val="004F5A98"/>
    <w:rsid w:val="004F5EEF"/>
    <w:rsid w:val="004F66C2"/>
    <w:rsid w:val="004F693F"/>
    <w:rsid w:val="004F7653"/>
    <w:rsid w:val="005008AC"/>
    <w:rsid w:val="00502303"/>
    <w:rsid w:val="005051B8"/>
    <w:rsid w:val="00507EE7"/>
    <w:rsid w:val="0051038A"/>
    <w:rsid w:val="005112D7"/>
    <w:rsid w:val="00511F4F"/>
    <w:rsid w:val="005130CD"/>
    <w:rsid w:val="00514D71"/>
    <w:rsid w:val="00516625"/>
    <w:rsid w:val="0051750A"/>
    <w:rsid w:val="0052173E"/>
    <w:rsid w:val="00522194"/>
    <w:rsid w:val="005232C8"/>
    <w:rsid w:val="005234F0"/>
    <w:rsid w:val="005277CB"/>
    <w:rsid w:val="00532D42"/>
    <w:rsid w:val="00535C9D"/>
    <w:rsid w:val="00541D60"/>
    <w:rsid w:val="005423E5"/>
    <w:rsid w:val="005454D4"/>
    <w:rsid w:val="00547AE1"/>
    <w:rsid w:val="00551C2D"/>
    <w:rsid w:val="00553F1F"/>
    <w:rsid w:val="005550E4"/>
    <w:rsid w:val="0055684A"/>
    <w:rsid w:val="005618F8"/>
    <w:rsid w:val="005623D9"/>
    <w:rsid w:val="0056274E"/>
    <w:rsid w:val="0056408F"/>
    <w:rsid w:val="00564576"/>
    <w:rsid w:val="00566D53"/>
    <w:rsid w:val="0057075A"/>
    <w:rsid w:val="005731C3"/>
    <w:rsid w:val="00575696"/>
    <w:rsid w:val="00576530"/>
    <w:rsid w:val="00576E32"/>
    <w:rsid w:val="00581C13"/>
    <w:rsid w:val="00582109"/>
    <w:rsid w:val="0058407C"/>
    <w:rsid w:val="00585F41"/>
    <w:rsid w:val="005864ED"/>
    <w:rsid w:val="00587943"/>
    <w:rsid w:val="005908DE"/>
    <w:rsid w:val="0059115B"/>
    <w:rsid w:val="005956BA"/>
    <w:rsid w:val="005960F2"/>
    <w:rsid w:val="00597346"/>
    <w:rsid w:val="005A0C06"/>
    <w:rsid w:val="005A11E2"/>
    <w:rsid w:val="005A327E"/>
    <w:rsid w:val="005A5C5B"/>
    <w:rsid w:val="005A6749"/>
    <w:rsid w:val="005B0C6E"/>
    <w:rsid w:val="005B235E"/>
    <w:rsid w:val="005B4678"/>
    <w:rsid w:val="005B490A"/>
    <w:rsid w:val="005B5AC1"/>
    <w:rsid w:val="005B60F3"/>
    <w:rsid w:val="005B648D"/>
    <w:rsid w:val="005B70AD"/>
    <w:rsid w:val="005B77A4"/>
    <w:rsid w:val="005B79D7"/>
    <w:rsid w:val="005C029D"/>
    <w:rsid w:val="005C24F0"/>
    <w:rsid w:val="005C4118"/>
    <w:rsid w:val="005C484C"/>
    <w:rsid w:val="005C4A77"/>
    <w:rsid w:val="005C4EA4"/>
    <w:rsid w:val="005C5D8E"/>
    <w:rsid w:val="005C7324"/>
    <w:rsid w:val="005D5985"/>
    <w:rsid w:val="005D5DD3"/>
    <w:rsid w:val="005D614C"/>
    <w:rsid w:val="005D6632"/>
    <w:rsid w:val="005E0F1E"/>
    <w:rsid w:val="005E1D89"/>
    <w:rsid w:val="005E3E60"/>
    <w:rsid w:val="005E51DF"/>
    <w:rsid w:val="005E6582"/>
    <w:rsid w:val="005E7300"/>
    <w:rsid w:val="005E7B72"/>
    <w:rsid w:val="005F6941"/>
    <w:rsid w:val="006022FC"/>
    <w:rsid w:val="00602930"/>
    <w:rsid w:val="00602F18"/>
    <w:rsid w:val="00605CD2"/>
    <w:rsid w:val="00606A6E"/>
    <w:rsid w:val="006075F6"/>
    <w:rsid w:val="00607F27"/>
    <w:rsid w:val="00611A25"/>
    <w:rsid w:val="0061420F"/>
    <w:rsid w:val="00614E0B"/>
    <w:rsid w:val="006156E2"/>
    <w:rsid w:val="006163BB"/>
    <w:rsid w:val="006211AD"/>
    <w:rsid w:val="00621F2F"/>
    <w:rsid w:val="00622167"/>
    <w:rsid w:val="00622B47"/>
    <w:rsid w:val="006231DB"/>
    <w:rsid w:val="006235F5"/>
    <w:rsid w:val="006236A8"/>
    <w:rsid w:val="006243EA"/>
    <w:rsid w:val="00624CF3"/>
    <w:rsid w:val="00627175"/>
    <w:rsid w:val="00627A08"/>
    <w:rsid w:val="006323BD"/>
    <w:rsid w:val="00634A5C"/>
    <w:rsid w:val="00635BCE"/>
    <w:rsid w:val="0063622B"/>
    <w:rsid w:val="00636DC4"/>
    <w:rsid w:val="00640BAF"/>
    <w:rsid w:val="0064139B"/>
    <w:rsid w:val="0064160B"/>
    <w:rsid w:val="00641FB9"/>
    <w:rsid w:val="006420D1"/>
    <w:rsid w:val="00644183"/>
    <w:rsid w:val="00645DFF"/>
    <w:rsid w:val="00646C5A"/>
    <w:rsid w:val="00647B6D"/>
    <w:rsid w:val="00650634"/>
    <w:rsid w:val="006522F4"/>
    <w:rsid w:val="006563D9"/>
    <w:rsid w:val="00656D5D"/>
    <w:rsid w:val="00657BBE"/>
    <w:rsid w:val="00660B46"/>
    <w:rsid w:val="00660CA1"/>
    <w:rsid w:val="00660D16"/>
    <w:rsid w:val="006611D3"/>
    <w:rsid w:val="0066137B"/>
    <w:rsid w:val="00661E36"/>
    <w:rsid w:val="00662459"/>
    <w:rsid w:val="00663990"/>
    <w:rsid w:val="00664F9B"/>
    <w:rsid w:val="00665AE5"/>
    <w:rsid w:val="00665E1C"/>
    <w:rsid w:val="006675B1"/>
    <w:rsid w:val="00670D6F"/>
    <w:rsid w:val="00672444"/>
    <w:rsid w:val="006742E6"/>
    <w:rsid w:val="00681072"/>
    <w:rsid w:val="0068181C"/>
    <w:rsid w:val="0068467D"/>
    <w:rsid w:val="00684A3A"/>
    <w:rsid w:val="0068586F"/>
    <w:rsid w:val="006862B4"/>
    <w:rsid w:val="006873D1"/>
    <w:rsid w:val="00690746"/>
    <w:rsid w:val="00691FF2"/>
    <w:rsid w:val="00694227"/>
    <w:rsid w:val="0069499A"/>
    <w:rsid w:val="00696C3C"/>
    <w:rsid w:val="00696E63"/>
    <w:rsid w:val="006A0D47"/>
    <w:rsid w:val="006A21CF"/>
    <w:rsid w:val="006A231B"/>
    <w:rsid w:val="006A2823"/>
    <w:rsid w:val="006A2F39"/>
    <w:rsid w:val="006A3213"/>
    <w:rsid w:val="006A4774"/>
    <w:rsid w:val="006A4D4F"/>
    <w:rsid w:val="006A7E1F"/>
    <w:rsid w:val="006B05D8"/>
    <w:rsid w:val="006B3362"/>
    <w:rsid w:val="006B60B7"/>
    <w:rsid w:val="006B644A"/>
    <w:rsid w:val="006B7639"/>
    <w:rsid w:val="006B7860"/>
    <w:rsid w:val="006C00C0"/>
    <w:rsid w:val="006C012F"/>
    <w:rsid w:val="006C51CD"/>
    <w:rsid w:val="006C6444"/>
    <w:rsid w:val="006D3854"/>
    <w:rsid w:val="006D3865"/>
    <w:rsid w:val="006D3C51"/>
    <w:rsid w:val="006D71DF"/>
    <w:rsid w:val="006D7F51"/>
    <w:rsid w:val="006E0565"/>
    <w:rsid w:val="006E2110"/>
    <w:rsid w:val="006E2E7D"/>
    <w:rsid w:val="006E5BAE"/>
    <w:rsid w:val="006E7B9D"/>
    <w:rsid w:val="006F0374"/>
    <w:rsid w:val="006F040C"/>
    <w:rsid w:val="006F0915"/>
    <w:rsid w:val="006F1819"/>
    <w:rsid w:val="006F3621"/>
    <w:rsid w:val="006F581C"/>
    <w:rsid w:val="006F5FFD"/>
    <w:rsid w:val="006F7CC3"/>
    <w:rsid w:val="0070050E"/>
    <w:rsid w:val="00700D56"/>
    <w:rsid w:val="007027AB"/>
    <w:rsid w:val="0070459C"/>
    <w:rsid w:val="00704F01"/>
    <w:rsid w:val="00707692"/>
    <w:rsid w:val="00707AD5"/>
    <w:rsid w:val="00714006"/>
    <w:rsid w:val="00716550"/>
    <w:rsid w:val="00716695"/>
    <w:rsid w:val="007169A9"/>
    <w:rsid w:val="007171C0"/>
    <w:rsid w:val="00717D1F"/>
    <w:rsid w:val="0072130A"/>
    <w:rsid w:val="00721D09"/>
    <w:rsid w:val="00723ED4"/>
    <w:rsid w:val="0072447F"/>
    <w:rsid w:val="00726419"/>
    <w:rsid w:val="007264EC"/>
    <w:rsid w:val="00730C2B"/>
    <w:rsid w:val="00733F57"/>
    <w:rsid w:val="007352C4"/>
    <w:rsid w:val="00735AC2"/>
    <w:rsid w:val="00735FDF"/>
    <w:rsid w:val="00741AD8"/>
    <w:rsid w:val="00741B85"/>
    <w:rsid w:val="00741F13"/>
    <w:rsid w:val="00742349"/>
    <w:rsid w:val="00743A19"/>
    <w:rsid w:val="00744175"/>
    <w:rsid w:val="00747C54"/>
    <w:rsid w:val="00750EE0"/>
    <w:rsid w:val="007535DE"/>
    <w:rsid w:val="007538D6"/>
    <w:rsid w:val="00755A6F"/>
    <w:rsid w:val="00757089"/>
    <w:rsid w:val="00761133"/>
    <w:rsid w:val="0076173F"/>
    <w:rsid w:val="00761FC3"/>
    <w:rsid w:val="0076273E"/>
    <w:rsid w:val="00766964"/>
    <w:rsid w:val="00767BEA"/>
    <w:rsid w:val="00771CE3"/>
    <w:rsid w:val="0077568D"/>
    <w:rsid w:val="00776FDB"/>
    <w:rsid w:val="007771C0"/>
    <w:rsid w:val="00780488"/>
    <w:rsid w:val="00782BC8"/>
    <w:rsid w:val="007857F3"/>
    <w:rsid w:val="0078692A"/>
    <w:rsid w:val="00787162"/>
    <w:rsid w:val="007904AF"/>
    <w:rsid w:val="007936ED"/>
    <w:rsid w:val="00793BDC"/>
    <w:rsid w:val="00794AEB"/>
    <w:rsid w:val="00795767"/>
    <w:rsid w:val="007A0025"/>
    <w:rsid w:val="007A2A80"/>
    <w:rsid w:val="007A39EC"/>
    <w:rsid w:val="007A5069"/>
    <w:rsid w:val="007A5231"/>
    <w:rsid w:val="007A6766"/>
    <w:rsid w:val="007B066F"/>
    <w:rsid w:val="007B1EF4"/>
    <w:rsid w:val="007B3C7E"/>
    <w:rsid w:val="007B4F00"/>
    <w:rsid w:val="007B602B"/>
    <w:rsid w:val="007B60C6"/>
    <w:rsid w:val="007C076E"/>
    <w:rsid w:val="007C24C0"/>
    <w:rsid w:val="007C2E8E"/>
    <w:rsid w:val="007C4CF8"/>
    <w:rsid w:val="007C5061"/>
    <w:rsid w:val="007C55DB"/>
    <w:rsid w:val="007C586E"/>
    <w:rsid w:val="007C709A"/>
    <w:rsid w:val="007C7177"/>
    <w:rsid w:val="007D11E4"/>
    <w:rsid w:val="007D15EF"/>
    <w:rsid w:val="007D1752"/>
    <w:rsid w:val="007D1E98"/>
    <w:rsid w:val="007D2D15"/>
    <w:rsid w:val="007D3486"/>
    <w:rsid w:val="007D480F"/>
    <w:rsid w:val="007D7CDF"/>
    <w:rsid w:val="007E2E93"/>
    <w:rsid w:val="007E3456"/>
    <w:rsid w:val="007E3870"/>
    <w:rsid w:val="007E5240"/>
    <w:rsid w:val="007E65C6"/>
    <w:rsid w:val="007E65D4"/>
    <w:rsid w:val="007E76B5"/>
    <w:rsid w:val="007E7DF3"/>
    <w:rsid w:val="007F013A"/>
    <w:rsid w:val="007F0C79"/>
    <w:rsid w:val="007F23BC"/>
    <w:rsid w:val="007F2654"/>
    <w:rsid w:val="007F2995"/>
    <w:rsid w:val="007F3E79"/>
    <w:rsid w:val="007F4AD6"/>
    <w:rsid w:val="007F6084"/>
    <w:rsid w:val="007F63BD"/>
    <w:rsid w:val="007F73D2"/>
    <w:rsid w:val="007F7B26"/>
    <w:rsid w:val="007F7E12"/>
    <w:rsid w:val="00800174"/>
    <w:rsid w:val="00801E91"/>
    <w:rsid w:val="00801EAC"/>
    <w:rsid w:val="00801F45"/>
    <w:rsid w:val="00802897"/>
    <w:rsid w:val="008038DD"/>
    <w:rsid w:val="00804C11"/>
    <w:rsid w:val="00805692"/>
    <w:rsid w:val="0080603B"/>
    <w:rsid w:val="00806E15"/>
    <w:rsid w:val="00807594"/>
    <w:rsid w:val="00810D38"/>
    <w:rsid w:val="00811BAC"/>
    <w:rsid w:val="008122F5"/>
    <w:rsid w:val="00814666"/>
    <w:rsid w:val="00820C25"/>
    <w:rsid w:val="00822A94"/>
    <w:rsid w:val="00823208"/>
    <w:rsid w:val="008240C8"/>
    <w:rsid w:val="008253B2"/>
    <w:rsid w:val="0082738B"/>
    <w:rsid w:val="00830394"/>
    <w:rsid w:val="00830B79"/>
    <w:rsid w:val="0083172C"/>
    <w:rsid w:val="0083345B"/>
    <w:rsid w:val="00833B6E"/>
    <w:rsid w:val="008340E0"/>
    <w:rsid w:val="008368D2"/>
    <w:rsid w:val="00840F0E"/>
    <w:rsid w:val="00841EEA"/>
    <w:rsid w:val="0084518E"/>
    <w:rsid w:val="008455D6"/>
    <w:rsid w:val="00845DD7"/>
    <w:rsid w:val="00846651"/>
    <w:rsid w:val="0084708F"/>
    <w:rsid w:val="00847157"/>
    <w:rsid w:val="00851399"/>
    <w:rsid w:val="00851F37"/>
    <w:rsid w:val="0085279E"/>
    <w:rsid w:val="00854A76"/>
    <w:rsid w:val="00861298"/>
    <w:rsid w:val="008622DF"/>
    <w:rsid w:val="0086437F"/>
    <w:rsid w:val="008654AC"/>
    <w:rsid w:val="00865CDB"/>
    <w:rsid w:val="00865DF6"/>
    <w:rsid w:val="00867DA5"/>
    <w:rsid w:val="00867F0F"/>
    <w:rsid w:val="0087111D"/>
    <w:rsid w:val="008737B7"/>
    <w:rsid w:val="00874410"/>
    <w:rsid w:val="00875A72"/>
    <w:rsid w:val="008778C3"/>
    <w:rsid w:val="008802B1"/>
    <w:rsid w:val="00880A04"/>
    <w:rsid w:val="00880B32"/>
    <w:rsid w:val="008811F2"/>
    <w:rsid w:val="00881305"/>
    <w:rsid w:val="00881439"/>
    <w:rsid w:val="00881844"/>
    <w:rsid w:val="00882447"/>
    <w:rsid w:val="0088382C"/>
    <w:rsid w:val="00883845"/>
    <w:rsid w:val="00884F7E"/>
    <w:rsid w:val="00886751"/>
    <w:rsid w:val="00886B0C"/>
    <w:rsid w:val="008870E5"/>
    <w:rsid w:val="00887467"/>
    <w:rsid w:val="008907E4"/>
    <w:rsid w:val="00891F9E"/>
    <w:rsid w:val="00893B4C"/>
    <w:rsid w:val="00893E05"/>
    <w:rsid w:val="0089410B"/>
    <w:rsid w:val="00895164"/>
    <w:rsid w:val="00895D3D"/>
    <w:rsid w:val="008A19CD"/>
    <w:rsid w:val="008A35C7"/>
    <w:rsid w:val="008B0285"/>
    <w:rsid w:val="008B2516"/>
    <w:rsid w:val="008B2D22"/>
    <w:rsid w:val="008B3C11"/>
    <w:rsid w:val="008B40CF"/>
    <w:rsid w:val="008B5FF3"/>
    <w:rsid w:val="008B69D4"/>
    <w:rsid w:val="008B7326"/>
    <w:rsid w:val="008B7854"/>
    <w:rsid w:val="008C1165"/>
    <w:rsid w:val="008C2BD3"/>
    <w:rsid w:val="008C2BDB"/>
    <w:rsid w:val="008C2DB5"/>
    <w:rsid w:val="008C425F"/>
    <w:rsid w:val="008C595E"/>
    <w:rsid w:val="008C6BC0"/>
    <w:rsid w:val="008C6F3C"/>
    <w:rsid w:val="008C7EF4"/>
    <w:rsid w:val="008D0DB7"/>
    <w:rsid w:val="008D0E50"/>
    <w:rsid w:val="008D25EC"/>
    <w:rsid w:val="008D5BB2"/>
    <w:rsid w:val="008D7E62"/>
    <w:rsid w:val="008E035D"/>
    <w:rsid w:val="008E0AB9"/>
    <w:rsid w:val="008E2117"/>
    <w:rsid w:val="008E26E1"/>
    <w:rsid w:val="008E3C75"/>
    <w:rsid w:val="008E6954"/>
    <w:rsid w:val="008F2F7B"/>
    <w:rsid w:val="008F3824"/>
    <w:rsid w:val="008F45C3"/>
    <w:rsid w:val="008F4768"/>
    <w:rsid w:val="008F4994"/>
    <w:rsid w:val="008F6C6F"/>
    <w:rsid w:val="008F6F92"/>
    <w:rsid w:val="00900488"/>
    <w:rsid w:val="00901075"/>
    <w:rsid w:val="00901141"/>
    <w:rsid w:val="00901605"/>
    <w:rsid w:val="00902411"/>
    <w:rsid w:val="009038A9"/>
    <w:rsid w:val="00903C8E"/>
    <w:rsid w:val="00904CEE"/>
    <w:rsid w:val="00904FEB"/>
    <w:rsid w:val="00906BC1"/>
    <w:rsid w:val="00907478"/>
    <w:rsid w:val="00907D4A"/>
    <w:rsid w:val="00911735"/>
    <w:rsid w:val="00911E06"/>
    <w:rsid w:val="00912085"/>
    <w:rsid w:val="009129CE"/>
    <w:rsid w:val="00912DB0"/>
    <w:rsid w:val="00913BD2"/>
    <w:rsid w:val="0091418B"/>
    <w:rsid w:val="0091706D"/>
    <w:rsid w:val="009204A5"/>
    <w:rsid w:val="00924912"/>
    <w:rsid w:val="009249C9"/>
    <w:rsid w:val="00925703"/>
    <w:rsid w:val="009279BA"/>
    <w:rsid w:val="009303D0"/>
    <w:rsid w:val="00933A76"/>
    <w:rsid w:val="0093496E"/>
    <w:rsid w:val="009366AE"/>
    <w:rsid w:val="00937525"/>
    <w:rsid w:val="009375B5"/>
    <w:rsid w:val="00940C62"/>
    <w:rsid w:val="009431D7"/>
    <w:rsid w:val="009433CE"/>
    <w:rsid w:val="00944BBF"/>
    <w:rsid w:val="00945CCD"/>
    <w:rsid w:val="00946663"/>
    <w:rsid w:val="00947958"/>
    <w:rsid w:val="00953183"/>
    <w:rsid w:val="00956C53"/>
    <w:rsid w:val="0096058D"/>
    <w:rsid w:val="00960D6F"/>
    <w:rsid w:val="00962E39"/>
    <w:rsid w:val="00962F21"/>
    <w:rsid w:val="00963490"/>
    <w:rsid w:val="009639B7"/>
    <w:rsid w:val="0096451B"/>
    <w:rsid w:val="00964B4B"/>
    <w:rsid w:val="00964E03"/>
    <w:rsid w:val="00965255"/>
    <w:rsid w:val="00966C76"/>
    <w:rsid w:val="00967AA4"/>
    <w:rsid w:val="00970A9B"/>
    <w:rsid w:val="009710CB"/>
    <w:rsid w:val="00972729"/>
    <w:rsid w:val="009735B3"/>
    <w:rsid w:val="009735DB"/>
    <w:rsid w:val="009737C5"/>
    <w:rsid w:val="0098155B"/>
    <w:rsid w:val="009833B0"/>
    <w:rsid w:val="009838F6"/>
    <w:rsid w:val="00983DC2"/>
    <w:rsid w:val="00984B57"/>
    <w:rsid w:val="00985AE4"/>
    <w:rsid w:val="009875AE"/>
    <w:rsid w:val="00987BCA"/>
    <w:rsid w:val="00987E86"/>
    <w:rsid w:val="00987F0F"/>
    <w:rsid w:val="009911C5"/>
    <w:rsid w:val="009919C7"/>
    <w:rsid w:val="00991B75"/>
    <w:rsid w:val="00992069"/>
    <w:rsid w:val="00992D6F"/>
    <w:rsid w:val="00995DAC"/>
    <w:rsid w:val="00995DD3"/>
    <w:rsid w:val="00996A09"/>
    <w:rsid w:val="009A451D"/>
    <w:rsid w:val="009A5543"/>
    <w:rsid w:val="009A5660"/>
    <w:rsid w:val="009B02B6"/>
    <w:rsid w:val="009B05F4"/>
    <w:rsid w:val="009B1F8F"/>
    <w:rsid w:val="009B2B1F"/>
    <w:rsid w:val="009B31B0"/>
    <w:rsid w:val="009B3447"/>
    <w:rsid w:val="009B35A2"/>
    <w:rsid w:val="009B4E72"/>
    <w:rsid w:val="009B5946"/>
    <w:rsid w:val="009B65E6"/>
    <w:rsid w:val="009B7BCD"/>
    <w:rsid w:val="009C0EAC"/>
    <w:rsid w:val="009C1470"/>
    <w:rsid w:val="009C1C96"/>
    <w:rsid w:val="009C21EC"/>
    <w:rsid w:val="009C30A0"/>
    <w:rsid w:val="009C325D"/>
    <w:rsid w:val="009C351E"/>
    <w:rsid w:val="009C3C61"/>
    <w:rsid w:val="009C443E"/>
    <w:rsid w:val="009C52E3"/>
    <w:rsid w:val="009C5A9B"/>
    <w:rsid w:val="009D06FC"/>
    <w:rsid w:val="009D1E3E"/>
    <w:rsid w:val="009D4EC2"/>
    <w:rsid w:val="009D4EC9"/>
    <w:rsid w:val="009D5CDE"/>
    <w:rsid w:val="009D6635"/>
    <w:rsid w:val="009D7719"/>
    <w:rsid w:val="009D7BFE"/>
    <w:rsid w:val="009E017C"/>
    <w:rsid w:val="009E0D6F"/>
    <w:rsid w:val="009E2477"/>
    <w:rsid w:val="009E2BAD"/>
    <w:rsid w:val="009E3C10"/>
    <w:rsid w:val="009E4224"/>
    <w:rsid w:val="009E625E"/>
    <w:rsid w:val="009F246D"/>
    <w:rsid w:val="009F2B5D"/>
    <w:rsid w:val="009F4285"/>
    <w:rsid w:val="009F5D66"/>
    <w:rsid w:val="009F6175"/>
    <w:rsid w:val="009F6251"/>
    <w:rsid w:val="00A009B9"/>
    <w:rsid w:val="00A04845"/>
    <w:rsid w:val="00A0538D"/>
    <w:rsid w:val="00A05ADF"/>
    <w:rsid w:val="00A06125"/>
    <w:rsid w:val="00A07B25"/>
    <w:rsid w:val="00A07EE0"/>
    <w:rsid w:val="00A13834"/>
    <w:rsid w:val="00A14679"/>
    <w:rsid w:val="00A14B2F"/>
    <w:rsid w:val="00A15746"/>
    <w:rsid w:val="00A15ACE"/>
    <w:rsid w:val="00A20C53"/>
    <w:rsid w:val="00A20FA9"/>
    <w:rsid w:val="00A21382"/>
    <w:rsid w:val="00A21CFD"/>
    <w:rsid w:val="00A22224"/>
    <w:rsid w:val="00A22B20"/>
    <w:rsid w:val="00A23EF0"/>
    <w:rsid w:val="00A24C9D"/>
    <w:rsid w:val="00A260DA"/>
    <w:rsid w:val="00A300C8"/>
    <w:rsid w:val="00A302BF"/>
    <w:rsid w:val="00A308BF"/>
    <w:rsid w:val="00A3506D"/>
    <w:rsid w:val="00A406C3"/>
    <w:rsid w:val="00A43723"/>
    <w:rsid w:val="00A44B80"/>
    <w:rsid w:val="00A4717C"/>
    <w:rsid w:val="00A473B7"/>
    <w:rsid w:val="00A50FF2"/>
    <w:rsid w:val="00A51085"/>
    <w:rsid w:val="00A52194"/>
    <w:rsid w:val="00A52EA1"/>
    <w:rsid w:val="00A53B0A"/>
    <w:rsid w:val="00A552EE"/>
    <w:rsid w:val="00A5605C"/>
    <w:rsid w:val="00A56931"/>
    <w:rsid w:val="00A60083"/>
    <w:rsid w:val="00A614EB"/>
    <w:rsid w:val="00A61CED"/>
    <w:rsid w:val="00A62B8D"/>
    <w:rsid w:val="00A62E95"/>
    <w:rsid w:val="00A630CB"/>
    <w:rsid w:val="00A66FB1"/>
    <w:rsid w:val="00A706B6"/>
    <w:rsid w:val="00A707E2"/>
    <w:rsid w:val="00A74779"/>
    <w:rsid w:val="00A800D1"/>
    <w:rsid w:val="00A8256E"/>
    <w:rsid w:val="00A83098"/>
    <w:rsid w:val="00A845B8"/>
    <w:rsid w:val="00A853F7"/>
    <w:rsid w:val="00A855DD"/>
    <w:rsid w:val="00A859A9"/>
    <w:rsid w:val="00A87354"/>
    <w:rsid w:val="00A90010"/>
    <w:rsid w:val="00A9075A"/>
    <w:rsid w:val="00A90857"/>
    <w:rsid w:val="00A92084"/>
    <w:rsid w:val="00A922C8"/>
    <w:rsid w:val="00A947F4"/>
    <w:rsid w:val="00A94F12"/>
    <w:rsid w:val="00A94F4F"/>
    <w:rsid w:val="00A976BF"/>
    <w:rsid w:val="00AA093C"/>
    <w:rsid w:val="00AA3619"/>
    <w:rsid w:val="00AA4270"/>
    <w:rsid w:val="00AA52D9"/>
    <w:rsid w:val="00AA54F1"/>
    <w:rsid w:val="00AA7457"/>
    <w:rsid w:val="00AB1C14"/>
    <w:rsid w:val="00AB2463"/>
    <w:rsid w:val="00AB3E10"/>
    <w:rsid w:val="00AB6443"/>
    <w:rsid w:val="00AC0DAF"/>
    <w:rsid w:val="00AC0E36"/>
    <w:rsid w:val="00AC1BCE"/>
    <w:rsid w:val="00AC2076"/>
    <w:rsid w:val="00AC2B4E"/>
    <w:rsid w:val="00AC3317"/>
    <w:rsid w:val="00AC439E"/>
    <w:rsid w:val="00AC530F"/>
    <w:rsid w:val="00AC69A8"/>
    <w:rsid w:val="00AD0F5B"/>
    <w:rsid w:val="00AD4105"/>
    <w:rsid w:val="00AD50C7"/>
    <w:rsid w:val="00AD5ABF"/>
    <w:rsid w:val="00AD6860"/>
    <w:rsid w:val="00AD6AF0"/>
    <w:rsid w:val="00AD6B9C"/>
    <w:rsid w:val="00AE1836"/>
    <w:rsid w:val="00AE197D"/>
    <w:rsid w:val="00AE3D8C"/>
    <w:rsid w:val="00AE4128"/>
    <w:rsid w:val="00AE4174"/>
    <w:rsid w:val="00AE4B51"/>
    <w:rsid w:val="00AE707C"/>
    <w:rsid w:val="00AE7DDA"/>
    <w:rsid w:val="00AF1459"/>
    <w:rsid w:val="00AF1773"/>
    <w:rsid w:val="00AF269C"/>
    <w:rsid w:val="00AF3DD7"/>
    <w:rsid w:val="00AF6200"/>
    <w:rsid w:val="00AF6451"/>
    <w:rsid w:val="00AF6FA0"/>
    <w:rsid w:val="00B002DF"/>
    <w:rsid w:val="00B008D4"/>
    <w:rsid w:val="00B010F4"/>
    <w:rsid w:val="00B01B83"/>
    <w:rsid w:val="00B02ADD"/>
    <w:rsid w:val="00B03BBD"/>
    <w:rsid w:val="00B04D19"/>
    <w:rsid w:val="00B059E7"/>
    <w:rsid w:val="00B11698"/>
    <w:rsid w:val="00B126FF"/>
    <w:rsid w:val="00B1438C"/>
    <w:rsid w:val="00B20C75"/>
    <w:rsid w:val="00B226CD"/>
    <w:rsid w:val="00B228E7"/>
    <w:rsid w:val="00B23762"/>
    <w:rsid w:val="00B25C05"/>
    <w:rsid w:val="00B260F8"/>
    <w:rsid w:val="00B27624"/>
    <w:rsid w:val="00B27EE5"/>
    <w:rsid w:val="00B30312"/>
    <w:rsid w:val="00B316E7"/>
    <w:rsid w:val="00B31E8D"/>
    <w:rsid w:val="00B32B63"/>
    <w:rsid w:val="00B331D3"/>
    <w:rsid w:val="00B35E05"/>
    <w:rsid w:val="00B40A14"/>
    <w:rsid w:val="00B426FF"/>
    <w:rsid w:val="00B450DB"/>
    <w:rsid w:val="00B462D0"/>
    <w:rsid w:val="00B46791"/>
    <w:rsid w:val="00B468E7"/>
    <w:rsid w:val="00B46C6B"/>
    <w:rsid w:val="00B47D26"/>
    <w:rsid w:val="00B53AF9"/>
    <w:rsid w:val="00B53DE7"/>
    <w:rsid w:val="00B53F53"/>
    <w:rsid w:val="00B55211"/>
    <w:rsid w:val="00B553CE"/>
    <w:rsid w:val="00B565B5"/>
    <w:rsid w:val="00B56608"/>
    <w:rsid w:val="00B60E44"/>
    <w:rsid w:val="00B6125C"/>
    <w:rsid w:val="00B61328"/>
    <w:rsid w:val="00B664B9"/>
    <w:rsid w:val="00B670C6"/>
    <w:rsid w:val="00B67BF7"/>
    <w:rsid w:val="00B67C35"/>
    <w:rsid w:val="00B72D13"/>
    <w:rsid w:val="00B72DB5"/>
    <w:rsid w:val="00B748A8"/>
    <w:rsid w:val="00B8024C"/>
    <w:rsid w:val="00B80387"/>
    <w:rsid w:val="00B80EF4"/>
    <w:rsid w:val="00B84345"/>
    <w:rsid w:val="00B84732"/>
    <w:rsid w:val="00B84AB5"/>
    <w:rsid w:val="00B853F9"/>
    <w:rsid w:val="00B85ADA"/>
    <w:rsid w:val="00B868AC"/>
    <w:rsid w:val="00B90C44"/>
    <w:rsid w:val="00B924A6"/>
    <w:rsid w:val="00B95273"/>
    <w:rsid w:val="00B9657B"/>
    <w:rsid w:val="00BA0E1C"/>
    <w:rsid w:val="00BA3FB9"/>
    <w:rsid w:val="00BA4AB6"/>
    <w:rsid w:val="00BA75EB"/>
    <w:rsid w:val="00BA7C18"/>
    <w:rsid w:val="00BB1B57"/>
    <w:rsid w:val="00BB2081"/>
    <w:rsid w:val="00BB2D49"/>
    <w:rsid w:val="00BB2E22"/>
    <w:rsid w:val="00BB4067"/>
    <w:rsid w:val="00BB48C9"/>
    <w:rsid w:val="00BB53A5"/>
    <w:rsid w:val="00BB5C71"/>
    <w:rsid w:val="00BD06C2"/>
    <w:rsid w:val="00BD4D7B"/>
    <w:rsid w:val="00BD4EF6"/>
    <w:rsid w:val="00BD542F"/>
    <w:rsid w:val="00BD63C8"/>
    <w:rsid w:val="00BD67C1"/>
    <w:rsid w:val="00BD6A4F"/>
    <w:rsid w:val="00BD6E4D"/>
    <w:rsid w:val="00BE0163"/>
    <w:rsid w:val="00BE08B5"/>
    <w:rsid w:val="00BE0D25"/>
    <w:rsid w:val="00BE6D26"/>
    <w:rsid w:val="00BE76DF"/>
    <w:rsid w:val="00BF0910"/>
    <w:rsid w:val="00BF13FC"/>
    <w:rsid w:val="00BF15E5"/>
    <w:rsid w:val="00BF1E58"/>
    <w:rsid w:val="00BF1EB6"/>
    <w:rsid w:val="00BF2141"/>
    <w:rsid w:val="00BF37F6"/>
    <w:rsid w:val="00BF48EF"/>
    <w:rsid w:val="00BF549D"/>
    <w:rsid w:val="00BF79FD"/>
    <w:rsid w:val="00C00050"/>
    <w:rsid w:val="00C005F2"/>
    <w:rsid w:val="00C013FD"/>
    <w:rsid w:val="00C017AE"/>
    <w:rsid w:val="00C0188F"/>
    <w:rsid w:val="00C02708"/>
    <w:rsid w:val="00C02726"/>
    <w:rsid w:val="00C028ED"/>
    <w:rsid w:val="00C03718"/>
    <w:rsid w:val="00C04745"/>
    <w:rsid w:val="00C05718"/>
    <w:rsid w:val="00C149C4"/>
    <w:rsid w:val="00C20B27"/>
    <w:rsid w:val="00C21338"/>
    <w:rsid w:val="00C216B8"/>
    <w:rsid w:val="00C22ED5"/>
    <w:rsid w:val="00C2378D"/>
    <w:rsid w:val="00C23F28"/>
    <w:rsid w:val="00C25822"/>
    <w:rsid w:val="00C26B23"/>
    <w:rsid w:val="00C2726A"/>
    <w:rsid w:val="00C27549"/>
    <w:rsid w:val="00C30550"/>
    <w:rsid w:val="00C314DD"/>
    <w:rsid w:val="00C31642"/>
    <w:rsid w:val="00C31AF9"/>
    <w:rsid w:val="00C33218"/>
    <w:rsid w:val="00C3321C"/>
    <w:rsid w:val="00C336A3"/>
    <w:rsid w:val="00C34B56"/>
    <w:rsid w:val="00C3661D"/>
    <w:rsid w:val="00C36945"/>
    <w:rsid w:val="00C42630"/>
    <w:rsid w:val="00C42E96"/>
    <w:rsid w:val="00C43A6F"/>
    <w:rsid w:val="00C442DE"/>
    <w:rsid w:val="00C45817"/>
    <w:rsid w:val="00C458DC"/>
    <w:rsid w:val="00C45904"/>
    <w:rsid w:val="00C46B52"/>
    <w:rsid w:val="00C47F9D"/>
    <w:rsid w:val="00C50667"/>
    <w:rsid w:val="00C50C01"/>
    <w:rsid w:val="00C54265"/>
    <w:rsid w:val="00C54561"/>
    <w:rsid w:val="00C56BE8"/>
    <w:rsid w:val="00C56FE0"/>
    <w:rsid w:val="00C615EA"/>
    <w:rsid w:val="00C61A8F"/>
    <w:rsid w:val="00C61F0D"/>
    <w:rsid w:val="00C62CE8"/>
    <w:rsid w:val="00C6580F"/>
    <w:rsid w:val="00C66A05"/>
    <w:rsid w:val="00C67005"/>
    <w:rsid w:val="00C67E0B"/>
    <w:rsid w:val="00C72381"/>
    <w:rsid w:val="00C77EE3"/>
    <w:rsid w:val="00C816FA"/>
    <w:rsid w:val="00C8231E"/>
    <w:rsid w:val="00C832A6"/>
    <w:rsid w:val="00C849AD"/>
    <w:rsid w:val="00C84ED7"/>
    <w:rsid w:val="00C85C31"/>
    <w:rsid w:val="00C871F0"/>
    <w:rsid w:val="00C87431"/>
    <w:rsid w:val="00C930AC"/>
    <w:rsid w:val="00C94A3A"/>
    <w:rsid w:val="00C9516E"/>
    <w:rsid w:val="00C9541A"/>
    <w:rsid w:val="00C955B5"/>
    <w:rsid w:val="00C957E6"/>
    <w:rsid w:val="00C963B6"/>
    <w:rsid w:val="00CA0ADF"/>
    <w:rsid w:val="00CA3060"/>
    <w:rsid w:val="00CA32A4"/>
    <w:rsid w:val="00CA3A58"/>
    <w:rsid w:val="00CA3CFA"/>
    <w:rsid w:val="00CA47C3"/>
    <w:rsid w:val="00CA5818"/>
    <w:rsid w:val="00CA7032"/>
    <w:rsid w:val="00CB0816"/>
    <w:rsid w:val="00CB232E"/>
    <w:rsid w:val="00CB3EB2"/>
    <w:rsid w:val="00CB4335"/>
    <w:rsid w:val="00CB5D3E"/>
    <w:rsid w:val="00CB7DB3"/>
    <w:rsid w:val="00CC02C7"/>
    <w:rsid w:val="00CC0B2E"/>
    <w:rsid w:val="00CC0F2C"/>
    <w:rsid w:val="00CC174F"/>
    <w:rsid w:val="00CC2D88"/>
    <w:rsid w:val="00CC2F3D"/>
    <w:rsid w:val="00CC3C43"/>
    <w:rsid w:val="00CC4E18"/>
    <w:rsid w:val="00CC59A2"/>
    <w:rsid w:val="00CC5BD4"/>
    <w:rsid w:val="00CD32DC"/>
    <w:rsid w:val="00CE0331"/>
    <w:rsid w:val="00CE54A5"/>
    <w:rsid w:val="00CE61F8"/>
    <w:rsid w:val="00CE6751"/>
    <w:rsid w:val="00CF0759"/>
    <w:rsid w:val="00CF078D"/>
    <w:rsid w:val="00CF2E0E"/>
    <w:rsid w:val="00CF2FF0"/>
    <w:rsid w:val="00CF3A6F"/>
    <w:rsid w:val="00CF5091"/>
    <w:rsid w:val="00CF5415"/>
    <w:rsid w:val="00CF63BF"/>
    <w:rsid w:val="00D014BE"/>
    <w:rsid w:val="00D017E6"/>
    <w:rsid w:val="00D01DE9"/>
    <w:rsid w:val="00D059D0"/>
    <w:rsid w:val="00D05BB3"/>
    <w:rsid w:val="00D075B1"/>
    <w:rsid w:val="00D07A8E"/>
    <w:rsid w:val="00D10FD9"/>
    <w:rsid w:val="00D121FA"/>
    <w:rsid w:val="00D13822"/>
    <w:rsid w:val="00D13C95"/>
    <w:rsid w:val="00D140B7"/>
    <w:rsid w:val="00D15A50"/>
    <w:rsid w:val="00D162CE"/>
    <w:rsid w:val="00D16804"/>
    <w:rsid w:val="00D17090"/>
    <w:rsid w:val="00D1754F"/>
    <w:rsid w:val="00D17CD5"/>
    <w:rsid w:val="00D213BA"/>
    <w:rsid w:val="00D275C4"/>
    <w:rsid w:val="00D27739"/>
    <w:rsid w:val="00D3336A"/>
    <w:rsid w:val="00D3475A"/>
    <w:rsid w:val="00D34E74"/>
    <w:rsid w:val="00D350DF"/>
    <w:rsid w:val="00D369DE"/>
    <w:rsid w:val="00D407FD"/>
    <w:rsid w:val="00D42518"/>
    <w:rsid w:val="00D4269E"/>
    <w:rsid w:val="00D43C42"/>
    <w:rsid w:val="00D43D25"/>
    <w:rsid w:val="00D44A93"/>
    <w:rsid w:val="00D45E06"/>
    <w:rsid w:val="00D5033B"/>
    <w:rsid w:val="00D5046A"/>
    <w:rsid w:val="00D509C3"/>
    <w:rsid w:val="00D51023"/>
    <w:rsid w:val="00D56A52"/>
    <w:rsid w:val="00D6106D"/>
    <w:rsid w:val="00D61729"/>
    <w:rsid w:val="00D62293"/>
    <w:rsid w:val="00D622C2"/>
    <w:rsid w:val="00D63ECA"/>
    <w:rsid w:val="00D647C3"/>
    <w:rsid w:val="00D64DC5"/>
    <w:rsid w:val="00D661FB"/>
    <w:rsid w:val="00D66DBA"/>
    <w:rsid w:val="00D672B0"/>
    <w:rsid w:val="00D7192B"/>
    <w:rsid w:val="00D71B0B"/>
    <w:rsid w:val="00D71E7D"/>
    <w:rsid w:val="00D728D1"/>
    <w:rsid w:val="00D72E64"/>
    <w:rsid w:val="00D73DD1"/>
    <w:rsid w:val="00D760B7"/>
    <w:rsid w:val="00D761F4"/>
    <w:rsid w:val="00D765E5"/>
    <w:rsid w:val="00D77950"/>
    <w:rsid w:val="00D80DDB"/>
    <w:rsid w:val="00D826AB"/>
    <w:rsid w:val="00D85B92"/>
    <w:rsid w:val="00D85E6A"/>
    <w:rsid w:val="00D87518"/>
    <w:rsid w:val="00D87C06"/>
    <w:rsid w:val="00D87E2C"/>
    <w:rsid w:val="00D901A6"/>
    <w:rsid w:val="00D91377"/>
    <w:rsid w:val="00D91768"/>
    <w:rsid w:val="00D91997"/>
    <w:rsid w:val="00D91D15"/>
    <w:rsid w:val="00D92BB1"/>
    <w:rsid w:val="00D9370C"/>
    <w:rsid w:val="00D93947"/>
    <w:rsid w:val="00D93D9D"/>
    <w:rsid w:val="00D94068"/>
    <w:rsid w:val="00D9429F"/>
    <w:rsid w:val="00D958F0"/>
    <w:rsid w:val="00D96E67"/>
    <w:rsid w:val="00D9791F"/>
    <w:rsid w:val="00D97C00"/>
    <w:rsid w:val="00D97F44"/>
    <w:rsid w:val="00DA1BA7"/>
    <w:rsid w:val="00DA43CF"/>
    <w:rsid w:val="00DA5E4B"/>
    <w:rsid w:val="00DB15EC"/>
    <w:rsid w:val="00DB1CDB"/>
    <w:rsid w:val="00DB2C70"/>
    <w:rsid w:val="00DB3961"/>
    <w:rsid w:val="00DB3A21"/>
    <w:rsid w:val="00DB448A"/>
    <w:rsid w:val="00DB45B5"/>
    <w:rsid w:val="00DB4A35"/>
    <w:rsid w:val="00DB4AE1"/>
    <w:rsid w:val="00DB4CDC"/>
    <w:rsid w:val="00DB4FF2"/>
    <w:rsid w:val="00DB71DF"/>
    <w:rsid w:val="00DC022B"/>
    <w:rsid w:val="00DC1495"/>
    <w:rsid w:val="00DC21C9"/>
    <w:rsid w:val="00DC24DE"/>
    <w:rsid w:val="00DC2F9F"/>
    <w:rsid w:val="00DC3B54"/>
    <w:rsid w:val="00DC47F2"/>
    <w:rsid w:val="00DC5283"/>
    <w:rsid w:val="00DC5368"/>
    <w:rsid w:val="00DC6E6A"/>
    <w:rsid w:val="00DC7526"/>
    <w:rsid w:val="00DC7D02"/>
    <w:rsid w:val="00DD0E89"/>
    <w:rsid w:val="00DD2EEC"/>
    <w:rsid w:val="00DD3810"/>
    <w:rsid w:val="00DD3E13"/>
    <w:rsid w:val="00DD4B07"/>
    <w:rsid w:val="00DD70B1"/>
    <w:rsid w:val="00DD7762"/>
    <w:rsid w:val="00DD7977"/>
    <w:rsid w:val="00DE2827"/>
    <w:rsid w:val="00DE2FC0"/>
    <w:rsid w:val="00DE3328"/>
    <w:rsid w:val="00DE5580"/>
    <w:rsid w:val="00DE5B50"/>
    <w:rsid w:val="00DE68CE"/>
    <w:rsid w:val="00DE7A88"/>
    <w:rsid w:val="00DF085E"/>
    <w:rsid w:val="00DF2B2D"/>
    <w:rsid w:val="00DF763F"/>
    <w:rsid w:val="00DF7F5E"/>
    <w:rsid w:val="00E00D10"/>
    <w:rsid w:val="00E00D2D"/>
    <w:rsid w:val="00E026AA"/>
    <w:rsid w:val="00E02E46"/>
    <w:rsid w:val="00E03314"/>
    <w:rsid w:val="00E03C48"/>
    <w:rsid w:val="00E049D3"/>
    <w:rsid w:val="00E050A5"/>
    <w:rsid w:val="00E0641B"/>
    <w:rsid w:val="00E06EC5"/>
    <w:rsid w:val="00E07D08"/>
    <w:rsid w:val="00E1113F"/>
    <w:rsid w:val="00E13894"/>
    <w:rsid w:val="00E13A30"/>
    <w:rsid w:val="00E141A3"/>
    <w:rsid w:val="00E17F18"/>
    <w:rsid w:val="00E219BC"/>
    <w:rsid w:val="00E22616"/>
    <w:rsid w:val="00E22739"/>
    <w:rsid w:val="00E2348B"/>
    <w:rsid w:val="00E23A02"/>
    <w:rsid w:val="00E24793"/>
    <w:rsid w:val="00E249CF"/>
    <w:rsid w:val="00E25C99"/>
    <w:rsid w:val="00E272A6"/>
    <w:rsid w:val="00E31309"/>
    <w:rsid w:val="00E3151B"/>
    <w:rsid w:val="00E32405"/>
    <w:rsid w:val="00E32EC8"/>
    <w:rsid w:val="00E354F1"/>
    <w:rsid w:val="00E358DB"/>
    <w:rsid w:val="00E35A97"/>
    <w:rsid w:val="00E4111C"/>
    <w:rsid w:val="00E4206C"/>
    <w:rsid w:val="00E42C52"/>
    <w:rsid w:val="00E43CA6"/>
    <w:rsid w:val="00E44469"/>
    <w:rsid w:val="00E46477"/>
    <w:rsid w:val="00E474F6"/>
    <w:rsid w:val="00E50CC5"/>
    <w:rsid w:val="00E5267B"/>
    <w:rsid w:val="00E534A9"/>
    <w:rsid w:val="00E53DAE"/>
    <w:rsid w:val="00E6344B"/>
    <w:rsid w:val="00E6392A"/>
    <w:rsid w:val="00E63D4A"/>
    <w:rsid w:val="00E66BD5"/>
    <w:rsid w:val="00E70BA5"/>
    <w:rsid w:val="00E70CEC"/>
    <w:rsid w:val="00E71916"/>
    <w:rsid w:val="00E72366"/>
    <w:rsid w:val="00E73D52"/>
    <w:rsid w:val="00E7414E"/>
    <w:rsid w:val="00E7753C"/>
    <w:rsid w:val="00E82F43"/>
    <w:rsid w:val="00E8346B"/>
    <w:rsid w:val="00E869C8"/>
    <w:rsid w:val="00E87512"/>
    <w:rsid w:val="00E903CC"/>
    <w:rsid w:val="00E931AC"/>
    <w:rsid w:val="00E9386B"/>
    <w:rsid w:val="00EA0343"/>
    <w:rsid w:val="00EA173C"/>
    <w:rsid w:val="00EA1A76"/>
    <w:rsid w:val="00EA22A8"/>
    <w:rsid w:val="00EA3359"/>
    <w:rsid w:val="00EA3C69"/>
    <w:rsid w:val="00EA3F1C"/>
    <w:rsid w:val="00EA4730"/>
    <w:rsid w:val="00EA4D83"/>
    <w:rsid w:val="00EA5369"/>
    <w:rsid w:val="00EA763E"/>
    <w:rsid w:val="00EB0F38"/>
    <w:rsid w:val="00EB35B3"/>
    <w:rsid w:val="00EB39F2"/>
    <w:rsid w:val="00EB40EC"/>
    <w:rsid w:val="00EB41CF"/>
    <w:rsid w:val="00EB4812"/>
    <w:rsid w:val="00EB6655"/>
    <w:rsid w:val="00EB687C"/>
    <w:rsid w:val="00EC17FC"/>
    <w:rsid w:val="00EC2E6E"/>
    <w:rsid w:val="00EC3930"/>
    <w:rsid w:val="00EC3AFC"/>
    <w:rsid w:val="00EC3E7E"/>
    <w:rsid w:val="00EC46C2"/>
    <w:rsid w:val="00EC4BBC"/>
    <w:rsid w:val="00EC68B8"/>
    <w:rsid w:val="00ED0836"/>
    <w:rsid w:val="00ED0F7C"/>
    <w:rsid w:val="00ED18F9"/>
    <w:rsid w:val="00ED276E"/>
    <w:rsid w:val="00ED3D36"/>
    <w:rsid w:val="00ED454F"/>
    <w:rsid w:val="00ED76C0"/>
    <w:rsid w:val="00EE0230"/>
    <w:rsid w:val="00EE1C53"/>
    <w:rsid w:val="00EE25FF"/>
    <w:rsid w:val="00EE2BC0"/>
    <w:rsid w:val="00EE334C"/>
    <w:rsid w:val="00EE3D7D"/>
    <w:rsid w:val="00EE4DA1"/>
    <w:rsid w:val="00EE7F36"/>
    <w:rsid w:val="00EF04C7"/>
    <w:rsid w:val="00EF05E7"/>
    <w:rsid w:val="00EF1C5E"/>
    <w:rsid w:val="00EF1E19"/>
    <w:rsid w:val="00EF1FA9"/>
    <w:rsid w:val="00EF3C6E"/>
    <w:rsid w:val="00EF4437"/>
    <w:rsid w:val="00EF4543"/>
    <w:rsid w:val="00EF4904"/>
    <w:rsid w:val="00EF7561"/>
    <w:rsid w:val="00F00B38"/>
    <w:rsid w:val="00F00D65"/>
    <w:rsid w:val="00F03916"/>
    <w:rsid w:val="00F03B47"/>
    <w:rsid w:val="00F04A61"/>
    <w:rsid w:val="00F05858"/>
    <w:rsid w:val="00F0645E"/>
    <w:rsid w:val="00F0660E"/>
    <w:rsid w:val="00F067A7"/>
    <w:rsid w:val="00F06877"/>
    <w:rsid w:val="00F06909"/>
    <w:rsid w:val="00F069A9"/>
    <w:rsid w:val="00F11637"/>
    <w:rsid w:val="00F12E85"/>
    <w:rsid w:val="00F12FC9"/>
    <w:rsid w:val="00F134D6"/>
    <w:rsid w:val="00F13E31"/>
    <w:rsid w:val="00F16637"/>
    <w:rsid w:val="00F16C3B"/>
    <w:rsid w:val="00F22F4A"/>
    <w:rsid w:val="00F251A0"/>
    <w:rsid w:val="00F25FD3"/>
    <w:rsid w:val="00F27828"/>
    <w:rsid w:val="00F322F4"/>
    <w:rsid w:val="00F336DC"/>
    <w:rsid w:val="00F45B94"/>
    <w:rsid w:val="00F46360"/>
    <w:rsid w:val="00F46AD0"/>
    <w:rsid w:val="00F50118"/>
    <w:rsid w:val="00F54886"/>
    <w:rsid w:val="00F602CF"/>
    <w:rsid w:val="00F614DE"/>
    <w:rsid w:val="00F61925"/>
    <w:rsid w:val="00F62F0F"/>
    <w:rsid w:val="00F6324E"/>
    <w:rsid w:val="00F63503"/>
    <w:rsid w:val="00F63BD7"/>
    <w:rsid w:val="00F6558C"/>
    <w:rsid w:val="00F65AC4"/>
    <w:rsid w:val="00F661AF"/>
    <w:rsid w:val="00F66CC6"/>
    <w:rsid w:val="00F75153"/>
    <w:rsid w:val="00F75DA6"/>
    <w:rsid w:val="00F75DD9"/>
    <w:rsid w:val="00F7658D"/>
    <w:rsid w:val="00F7714B"/>
    <w:rsid w:val="00F7718C"/>
    <w:rsid w:val="00F80132"/>
    <w:rsid w:val="00F819B4"/>
    <w:rsid w:val="00F819B6"/>
    <w:rsid w:val="00F83F72"/>
    <w:rsid w:val="00F85322"/>
    <w:rsid w:val="00F8560C"/>
    <w:rsid w:val="00F919F6"/>
    <w:rsid w:val="00F9237D"/>
    <w:rsid w:val="00F9627A"/>
    <w:rsid w:val="00F9638C"/>
    <w:rsid w:val="00F970C9"/>
    <w:rsid w:val="00F97D7D"/>
    <w:rsid w:val="00FA02E5"/>
    <w:rsid w:val="00FA08A3"/>
    <w:rsid w:val="00FA1316"/>
    <w:rsid w:val="00FA318D"/>
    <w:rsid w:val="00FA4F8F"/>
    <w:rsid w:val="00FA5BCF"/>
    <w:rsid w:val="00FB2D58"/>
    <w:rsid w:val="00FB3BA1"/>
    <w:rsid w:val="00FB464F"/>
    <w:rsid w:val="00FB4840"/>
    <w:rsid w:val="00FB6272"/>
    <w:rsid w:val="00FB69EC"/>
    <w:rsid w:val="00FB7426"/>
    <w:rsid w:val="00FC2918"/>
    <w:rsid w:val="00FC2A7E"/>
    <w:rsid w:val="00FD1D1E"/>
    <w:rsid w:val="00FD3C0E"/>
    <w:rsid w:val="00FD5B12"/>
    <w:rsid w:val="00FD5BAE"/>
    <w:rsid w:val="00FD70F9"/>
    <w:rsid w:val="00FD714E"/>
    <w:rsid w:val="00FD7312"/>
    <w:rsid w:val="00FE13AD"/>
    <w:rsid w:val="00FE18F9"/>
    <w:rsid w:val="00FE6C20"/>
    <w:rsid w:val="00FE7AF4"/>
    <w:rsid w:val="00FE7AFE"/>
    <w:rsid w:val="00FE7C12"/>
    <w:rsid w:val="00FE7EAC"/>
    <w:rsid w:val="00FF1B07"/>
    <w:rsid w:val="00FF2BDF"/>
    <w:rsid w:val="00FF713B"/>
    <w:rsid w:val="00FF72F3"/>
    <w:rsid w:val="1AF7F50E"/>
    <w:rsid w:val="5C99179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FDA6C"/>
  <w15:chartTrackingRefBased/>
  <w15:docId w15:val="{DE77B6F3-CDF2-4B4C-BCF4-7CDFACD4B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54779"/>
    <w:pPr>
      <w:spacing w:after="0" w:line="276" w:lineRule="auto"/>
    </w:pPr>
    <w:rPr>
      <w:rFonts w:ascii="Arial" w:eastAsia="MS Mincho" w:hAnsi="Arial" w:cs="Mangal"/>
      <w:sz w:val="20"/>
      <w:szCs w:val="20"/>
      <w:lang w:eastAsia="ja-JP"/>
    </w:rPr>
  </w:style>
  <w:style w:type="paragraph" w:styleId="berschrift1">
    <w:name w:val="heading 1"/>
    <w:basedOn w:val="Standard"/>
    <w:next w:val="Standard"/>
    <w:link w:val="berschrift1Zchn"/>
    <w:uiPriority w:val="9"/>
    <w:qFormat/>
    <w:rsid w:val="005C411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486EF7"/>
    <w:pPr>
      <w:spacing w:before="100" w:beforeAutospacing="1" w:after="100" w:afterAutospacing="1" w:line="240" w:lineRule="auto"/>
      <w:outlineLvl w:val="1"/>
    </w:pPr>
    <w:rPr>
      <w:rFonts w:ascii="Times New Roman" w:eastAsia="Times New Roman" w:hAnsi="Times New Roman" w:cs="Times New Roman"/>
      <w:b/>
      <w:bCs/>
      <w:sz w:val="36"/>
      <w:szCs w:val="36"/>
      <w:lang w:eastAsia="de-CH"/>
    </w:rPr>
  </w:style>
  <w:style w:type="paragraph" w:styleId="berschrift3">
    <w:name w:val="heading 3"/>
    <w:basedOn w:val="Standard"/>
    <w:link w:val="berschrift3Zchn"/>
    <w:uiPriority w:val="9"/>
    <w:qFormat/>
    <w:rsid w:val="00486EF7"/>
    <w:pPr>
      <w:spacing w:before="100" w:beforeAutospacing="1" w:after="100" w:afterAutospacing="1" w:line="240" w:lineRule="auto"/>
      <w:outlineLvl w:val="2"/>
    </w:pPr>
    <w:rPr>
      <w:rFonts w:ascii="Times New Roman" w:eastAsia="Times New Roman" w:hAnsi="Times New Roman" w:cs="Times New Roman"/>
      <w:b/>
      <w:bCs/>
      <w:sz w:val="27"/>
      <w:szCs w:val="27"/>
      <w:lang w:eastAsia="de-CH"/>
    </w:rPr>
  </w:style>
  <w:style w:type="paragraph" w:styleId="berschrift4">
    <w:name w:val="heading 4"/>
    <w:basedOn w:val="Standard"/>
    <w:next w:val="Standard"/>
    <w:link w:val="berschrift4Zchn"/>
    <w:uiPriority w:val="9"/>
    <w:semiHidden/>
    <w:unhideWhenUsed/>
    <w:qFormat/>
    <w:rsid w:val="00566D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354779"/>
    <w:rPr>
      <w:color w:val="0000FF"/>
      <w:u w:val="single"/>
    </w:rPr>
  </w:style>
  <w:style w:type="character" w:customStyle="1" w:styleId="BetreffFettZchn">
    <w:name w:val="BetreffFett Zchn"/>
    <w:link w:val="BetreffFett"/>
    <w:locked/>
    <w:rsid w:val="00354779"/>
    <w:rPr>
      <w:b/>
      <w:szCs w:val="24"/>
      <w:lang w:eastAsia="ja-JP"/>
    </w:rPr>
  </w:style>
  <w:style w:type="paragraph" w:customStyle="1" w:styleId="BetreffFett">
    <w:name w:val="BetreffFett"/>
    <w:basedOn w:val="Standard"/>
    <w:link w:val="BetreffFettZchn"/>
    <w:qFormat/>
    <w:rsid w:val="00354779"/>
    <w:pPr>
      <w:spacing w:line="264" w:lineRule="auto"/>
    </w:pPr>
    <w:rPr>
      <w:rFonts w:asciiTheme="minorHAnsi" w:eastAsiaTheme="minorHAnsi" w:hAnsiTheme="minorHAnsi" w:cstheme="minorBidi"/>
      <w:b/>
      <w:sz w:val="22"/>
      <w:szCs w:val="24"/>
    </w:rPr>
  </w:style>
  <w:style w:type="paragraph" w:styleId="Kopfzeile">
    <w:name w:val="header"/>
    <w:basedOn w:val="Standard"/>
    <w:link w:val="KopfzeileZchn"/>
    <w:uiPriority w:val="99"/>
    <w:unhideWhenUsed/>
    <w:rsid w:val="00354779"/>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354779"/>
    <w:rPr>
      <w:rFonts w:ascii="Arial" w:eastAsia="MS Mincho" w:hAnsi="Arial" w:cs="Mangal"/>
      <w:sz w:val="20"/>
      <w:szCs w:val="20"/>
      <w:lang w:eastAsia="ja-JP"/>
    </w:rPr>
  </w:style>
  <w:style w:type="paragraph" w:styleId="Fuzeile">
    <w:name w:val="footer"/>
    <w:basedOn w:val="Standard"/>
    <w:link w:val="FuzeileZchn"/>
    <w:uiPriority w:val="99"/>
    <w:unhideWhenUsed/>
    <w:rsid w:val="00354779"/>
    <w:pPr>
      <w:tabs>
        <w:tab w:val="center" w:pos="4513"/>
        <w:tab w:val="right" w:pos="9026"/>
      </w:tabs>
      <w:spacing w:line="240" w:lineRule="auto"/>
    </w:pPr>
  </w:style>
  <w:style w:type="character" w:customStyle="1" w:styleId="FuzeileZchn">
    <w:name w:val="Fußzeile Zchn"/>
    <w:basedOn w:val="Absatz-Standardschriftart"/>
    <w:link w:val="Fuzeile"/>
    <w:uiPriority w:val="99"/>
    <w:rsid w:val="00354779"/>
    <w:rPr>
      <w:rFonts w:ascii="Arial" w:eastAsia="MS Mincho" w:hAnsi="Arial" w:cs="Mangal"/>
      <w:sz w:val="20"/>
      <w:szCs w:val="20"/>
      <w:lang w:eastAsia="ja-JP"/>
    </w:rPr>
  </w:style>
  <w:style w:type="paragraph" w:styleId="Listenabsatz">
    <w:name w:val="List Paragraph"/>
    <w:basedOn w:val="Standard"/>
    <w:link w:val="ListenabsatzZchn"/>
    <w:uiPriority w:val="34"/>
    <w:qFormat/>
    <w:rsid w:val="00D72E64"/>
    <w:pPr>
      <w:ind w:left="720"/>
      <w:contextualSpacing/>
    </w:pPr>
  </w:style>
  <w:style w:type="character" w:customStyle="1" w:styleId="ListenabsatzZchn">
    <w:name w:val="Listenabsatz Zchn"/>
    <w:link w:val="Listenabsatz"/>
    <w:uiPriority w:val="34"/>
    <w:rsid w:val="00D72E64"/>
    <w:rPr>
      <w:rFonts w:ascii="Arial" w:eastAsia="MS Mincho" w:hAnsi="Arial" w:cs="Mangal"/>
      <w:sz w:val="20"/>
      <w:szCs w:val="20"/>
      <w:lang w:eastAsia="ja-JP"/>
    </w:rPr>
  </w:style>
  <w:style w:type="character" w:styleId="NichtaufgelsteErwhnung">
    <w:name w:val="Unresolved Mention"/>
    <w:basedOn w:val="Absatz-Standardschriftart"/>
    <w:uiPriority w:val="99"/>
    <w:semiHidden/>
    <w:unhideWhenUsed/>
    <w:rsid w:val="00C930AC"/>
    <w:rPr>
      <w:color w:val="605E5C"/>
      <w:shd w:val="clear" w:color="auto" w:fill="E1DFDD"/>
    </w:rPr>
  </w:style>
  <w:style w:type="paragraph" w:styleId="Funotentext">
    <w:name w:val="footnote text"/>
    <w:basedOn w:val="Standard"/>
    <w:link w:val="FunotentextZchn"/>
    <w:uiPriority w:val="99"/>
    <w:semiHidden/>
    <w:unhideWhenUsed/>
    <w:rsid w:val="0009101F"/>
    <w:pPr>
      <w:spacing w:line="240" w:lineRule="auto"/>
    </w:pPr>
    <w:rPr>
      <w:rFonts w:asciiTheme="minorHAnsi" w:eastAsiaTheme="minorHAnsi" w:hAnsiTheme="minorHAnsi" w:cstheme="minorBidi"/>
      <w:lang w:val="de-DE" w:eastAsia="en-US"/>
    </w:rPr>
  </w:style>
  <w:style w:type="character" w:customStyle="1" w:styleId="FunotentextZchn">
    <w:name w:val="Fußnotentext Zchn"/>
    <w:basedOn w:val="Absatz-Standardschriftart"/>
    <w:link w:val="Funotentext"/>
    <w:uiPriority w:val="99"/>
    <w:semiHidden/>
    <w:rsid w:val="0009101F"/>
    <w:rPr>
      <w:sz w:val="20"/>
      <w:szCs w:val="20"/>
      <w:lang w:val="de-DE"/>
    </w:rPr>
  </w:style>
  <w:style w:type="character" w:styleId="Funotenzeichen">
    <w:name w:val="footnote reference"/>
    <w:basedOn w:val="Absatz-Standardschriftart"/>
    <w:uiPriority w:val="99"/>
    <w:semiHidden/>
    <w:unhideWhenUsed/>
    <w:rsid w:val="0009101F"/>
    <w:rPr>
      <w:vertAlign w:val="superscript"/>
    </w:rPr>
  </w:style>
  <w:style w:type="character" w:styleId="BesuchterLink">
    <w:name w:val="FollowedHyperlink"/>
    <w:basedOn w:val="Absatz-Standardschriftart"/>
    <w:uiPriority w:val="99"/>
    <w:semiHidden/>
    <w:unhideWhenUsed/>
    <w:rsid w:val="00CC0B2E"/>
    <w:rPr>
      <w:color w:val="954F72" w:themeColor="followedHyperlink"/>
      <w:u w:val="single"/>
    </w:rPr>
  </w:style>
  <w:style w:type="paragraph" w:styleId="berarbeitung">
    <w:name w:val="Revision"/>
    <w:hidden/>
    <w:uiPriority w:val="99"/>
    <w:semiHidden/>
    <w:rsid w:val="00793BDC"/>
    <w:pPr>
      <w:spacing w:after="0" w:line="240" w:lineRule="auto"/>
    </w:pPr>
    <w:rPr>
      <w:rFonts w:ascii="Arial" w:eastAsia="MS Mincho" w:hAnsi="Arial" w:cs="Mangal"/>
      <w:sz w:val="20"/>
      <w:szCs w:val="20"/>
      <w:lang w:eastAsia="ja-JP"/>
    </w:rPr>
  </w:style>
  <w:style w:type="paragraph" w:styleId="HTMLVorformatiert">
    <w:name w:val="HTML Preformatted"/>
    <w:basedOn w:val="Standard"/>
    <w:link w:val="HTMLVorformatiertZchn"/>
    <w:uiPriority w:val="99"/>
    <w:semiHidden/>
    <w:unhideWhenUsed/>
    <w:rsid w:val="00ED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heme="minorHAnsi" w:hAnsi="Courier New" w:cs="Courier New"/>
      <w:lang w:eastAsia="de-CH"/>
    </w:rPr>
  </w:style>
  <w:style w:type="character" w:customStyle="1" w:styleId="HTMLVorformatiertZchn">
    <w:name w:val="HTML Vorformatiert Zchn"/>
    <w:basedOn w:val="Absatz-Standardschriftart"/>
    <w:link w:val="HTMLVorformatiert"/>
    <w:uiPriority w:val="99"/>
    <w:semiHidden/>
    <w:rsid w:val="00ED18F9"/>
    <w:rPr>
      <w:rFonts w:ascii="Courier New" w:hAnsi="Courier New" w:cs="Courier New"/>
      <w:sz w:val="20"/>
      <w:szCs w:val="20"/>
      <w:lang w:eastAsia="de-CH"/>
    </w:rPr>
  </w:style>
  <w:style w:type="paragraph" w:styleId="StandardWeb">
    <w:name w:val="Normal (Web)"/>
    <w:basedOn w:val="Standard"/>
    <w:uiPriority w:val="99"/>
    <w:unhideWhenUsed/>
    <w:rsid w:val="00ED18F9"/>
    <w:pPr>
      <w:spacing w:before="100" w:beforeAutospacing="1" w:after="100" w:afterAutospacing="1" w:line="240" w:lineRule="auto"/>
    </w:pPr>
    <w:rPr>
      <w:rFonts w:ascii="Calibri" w:eastAsiaTheme="minorHAnsi" w:hAnsi="Calibri" w:cs="Calibri"/>
      <w:sz w:val="22"/>
      <w:szCs w:val="22"/>
      <w:lang w:eastAsia="de-CH"/>
    </w:rPr>
  </w:style>
  <w:style w:type="character" w:customStyle="1" w:styleId="berschrift2Zchn">
    <w:name w:val="Überschrift 2 Zchn"/>
    <w:basedOn w:val="Absatz-Standardschriftart"/>
    <w:link w:val="berschrift2"/>
    <w:uiPriority w:val="9"/>
    <w:rsid w:val="00486EF7"/>
    <w:rPr>
      <w:rFonts w:ascii="Times New Roman" w:eastAsia="Times New Roman" w:hAnsi="Times New Roman" w:cs="Times New Roman"/>
      <w:b/>
      <w:bCs/>
      <w:sz w:val="36"/>
      <w:szCs w:val="36"/>
      <w:lang w:eastAsia="de-CH"/>
    </w:rPr>
  </w:style>
  <w:style w:type="character" w:customStyle="1" w:styleId="berschrift3Zchn">
    <w:name w:val="Überschrift 3 Zchn"/>
    <w:basedOn w:val="Absatz-Standardschriftart"/>
    <w:link w:val="berschrift3"/>
    <w:uiPriority w:val="9"/>
    <w:rsid w:val="00486EF7"/>
    <w:rPr>
      <w:rFonts w:ascii="Times New Roman" w:eastAsia="Times New Roman" w:hAnsi="Times New Roman" w:cs="Times New Roman"/>
      <w:b/>
      <w:bCs/>
      <w:sz w:val="27"/>
      <w:szCs w:val="27"/>
      <w:lang w:eastAsia="de-CH"/>
    </w:rPr>
  </w:style>
  <w:style w:type="paragraph" w:customStyle="1" w:styleId="textabsatz">
    <w:name w:val="textabsatz"/>
    <w:basedOn w:val="Standard"/>
    <w:rsid w:val="00486EF7"/>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styleId="Fett">
    <w:name w:val="Strong"/>
    <w:basedOn w:val="Absatz-Standardschriftart"/>
    <w:uiPriority w:val="22"/>
    <w:qFormat/>
    <w:rsid w:val="00486EF7"/>
    <w:rPr>
      <w:b/>
      <w:bCs/>
    </w:rPr>
  </w:style>
  <w:style w:type="character" w:customStyle="1" w:styleId="visually-hidden">
    <w:name w:val="visually-hidden"/>
    <w:basedOn w:val="Absatz-Standardschriftart"/>
    <w:rsid w:val="00486EF7"/>
  </w:style>
  <w:style w:type="character" w:customStyle="1" w:styleId="ardplayer-posterframe-duration">
    <w:name w:val="ardplayer-posterframe-duration"/>
    <w:basedOn w:val="Absatz-Standardschriftart"/>
    <w:rsid w:val="00486EF7"/>
  </w:style>
  <w:style w:type="paragraph" w:customStyle="1" w:styleId="teaser-absatztopline-container">
    <w:name w:val="teaser-absatz__topline-container"/>
    <w:basedOn w:val="Standard"/>
    <w:rsid w:val="00486EF7"/>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teaser-absatzdate">
    <w:name w:val="teaser-absatz__date"/>
    <w:basedOn w:val="Absatz-Standardschriftart"/>
    <w:rsid w:val="00486EF7"/>
  </w:style>
  <w:style w:type="character" w:customStyle="1" w:styleId="teaser-absatztopline">
    <w:name w:val="teaser-absatz__topline"/>
    <w:basedOn w:val="Absatz-Standardschriftart"/>
    <w:rsid w:val="00486EF7"/>
  </w:style>
  <w:style w:type="character" w:customStyle="1" w:styleId="teaser-absatzheadline">
    <w:name w:val="teaser-absatz__headline"/>
    <w:basedOn w:val="Absatz-Standardschriftart"/>
    <w:rsid w:val="00486EF7"/>
  </w:style>
  <w:style w:type="paragraph" w:customStyle="1" w:styleId="teaser-absatzshorttext">
    <w:name w:val="teaser-absatz__shorttext"/>
    <w:basedOn w:val="Standard"/>
    <w:rsid w:val="00486EF7"/>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link-extend">
    <w:name w:val="link-extend"/>
    <w:basedOn w:val="Absatz-Standardschriftart"/>
    <w:rsid w:val="00486EF7"/>
  </w:style>
  <w:style w:type="character" w:customStyle="1" w:styleId="berschrift4Zchn">
    <w:name w:val="Überschrift 4 Zchn"/>
    <w:basedOn w:val="Absatz-Standardschriftart"/>
    <w:link w:val="berschrift4"/>
    <w:uiPriority w:val="9"/>
    <w:semiHidden/>
    <w:rsid w:val="00566D53"/>
    <w:rPr>
      <w:rFonts w:asciiTheme="majorHAnsi" w:eastAsiaTheme="majorEastAsia" w:hAnsiTheme="majorHAnsi" w:cstheme="majorBidi"/>
      <w:i/>
      <w:iCs/>
      <w:color w:val="2F5496" w:themeColor="accent1" w:themeShade="BF"/>
      <w:sz w:val="20"/>
      <w:szCs w:val="20"/>
      <w:lang w:eastAsia="ja-JP"/>
    </w:rPr>
  </w:style>
  <w:style w:type="character" w:customStyle="1" w:styleId="berschrift1Zchn">
    <w:name w:val="Überschrift 1 Zchn"/>
    <w:basedOn w:val="Absatz-Standardschriftart"/>
    <w:link w:val="berschrift1"/>
    <w:uiPriority w:val="9"/>
    <w:rsid w:val="005C4118"/>
    <w:rPr>
      <w:rFonts w:asciiTheme="majorHAnsi" w:eastAsiaTheme="majorEastAsia" w:hAnsiTheme="majorHAnsi" w:cstheme="majorBidi"/>
      <w:color w:val="2F5496"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86359">
      <w:bodyDiv w:val="1"/>
      <w:marLeft w:val="0"/>
      <w:marRight w:val="0"/>
      <w:marTop w:val="0"/>
      <w:marBottom w:val="0"/>
      <w:divBdr>
        <w:top w:val="none" w:sz="0" w:space="0" w:color="auto"/>
        <w:left w:val="none" w:sz="0" w:space="0" w:color="auto"/>
        <w:bottom w:val="none" w:sz="0" w:space="0" w:color="auto"/>
        <w:right w:val="none" w:sz="0" w:space="0" w:color="auto"/>
      </w:divBdr>
      <w:divsChild>
        <w:div w:id="1996251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43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096146">
      <w:bodyDiv w:val="1"/>
      <w:marLeft w:val="0"/>
      <w:marRight w:val="0"/>
      <w:marTop w:val="0"/>
      <w:marBottom w:val="0"/>
      <w:divBdr>
        <w:top w:val="none" w:sz="0" w:space="0" w:color="auto"/>
        <w:left w:val="none" w:sz="0" w:space="0" w:color="auto"/>
        <w:bottom w:val="none" w:sz="0" w:space="0" w:color="auto"/>
        <w:right w:val="none" w:sz="0" w:space="0" w:color="auto"/>
      </w:divBdr>
    </w:div>
    <w:div w:id="108937064">
      <w:bodyDiv w:val="1"/>
      <w:marLeft w:val="0"/>
      <w:marRight w:val="0"/>
      <w:marTop w:val="0"/>
      <w:marBottom w:val="0"/>
      <w:divBdr>
        <w:top w:val="none" w:sz="0" w:space="0" w:color="auto"/>
        <w:left w:val="none" w:sz="0" w:space="0" w:color="auto"/>
        <w:bottom w:val="none" w:sz="0" w:space="0" w:color="auto"/>
        <w:right w:val="none" w:sz="0" w:space="0" w:color="auto"/>
      </w:divBdr>
    </w:div>
    <w:div w:id="119148118">
      <w:bodyDiv w:val="1"/>
      <w:marLeft w:val="0"/>
      <w:marRight w:val="0"/>
      <w:marTop w:val="0"/>
      <w:marBottom w:val="0"/>
      <w:divBdr>
        <w:top w:val="none" w:sz="0" w:space="0" w:color="auto"/>
        <w:left w:val="none" w:sz="0" w:space="0" w:color="auto"/>
        <w:bottom w:val="none" w:sz="0" w:space="0" w:color="auto"/>
        <w:right w:val="none" w:sz="0" w:space="0" w:color="auto"/>
      </w:divBdr>
    </w:div>
    <w:div w:id="170799076">
      <w:bodyDiv w:val="1"/>
      <w:marLeft w:val="0"/>
      <w:marRight w:val="0"/>
      <w:marTop w:val="0"/>
      <w:marBottom w:val="0"/>
      <w:divBdr>
        <w:top w:val="none" w:sz="0" w:space="0" w:color="auto"/>
        <w:left w:val="none" w:sz="0" w:space="0" w:color="auto"/>
        <w:bottom w:val="none" w:sz="0" w:space="0" w:color="auto"/>
        <w:right w:val="none" w:sz="0" w:space="0" w:color="auto"/>
      </w:divBdr>
    </w:div>
    <w:div w:id="368337193">
      <w:bodyDiv w:val="1"/>
      <w:marLeft w:val="0"/>
      <w:marRight w:val="0"/>
      <w:marTop w:val="0"/>
      <w:marBottom w:val="0"/>
      <w:divBdr>
        <w:top w:val="none" w:sz="0" w:space="0" w:color="auto"/>
        <w:left w:val="none" w:sz="0" w:space="0" w:color="auto"/>
        <w:bottom w:val="none" w:sz="0" w:space="0" w:color="auto"/>
        <w:right w:val="none" w:sz="0" w:space="0" w:color="auto"/>
      </w:divBdr>
    </w:div>
    <w:div w:id="403726442">
      <w:bodyDiv w:val="1"/>
      <w:marLeft w:val="0"/>
      <w:marRight w:val="0"/>
      <w:marTop w:val="0"/>
      <w:marBottom w:val="0"/>
      <w:divBdr>
        <w:top w:val="none" w:sz="0" w:space="0" w:color="auto"/>
        <w:left w:val="none" w:sz="0" w:space="0" w:color="auto"/>
        <w:bottom w:val="none" w:sz="0" w:space="0" w:color="auto"/>
        <w:right w:val="none" w:sz="0" w:space="0" w:color="auto"/>
      </w:divBdr>
    </w:div>
    <w:div w:id="438450625">
      <w:bodyDiv w:val="1"/>
      <w:marLeft w:val="0"/>
      <w:marRight w:val="0"/>
      <w:marTop w:val="0"/>
      <w:marBottom w:val="0"/>
      <w:divBdr>
        <w:top w:val="none" w:sz="0" w:space="0" w:color="auto"/>
        <w:left w:val="none" w:sz="0" w:space="0" w:color="auto"/>
        <w:bottom w:val="none" w:sz="0" w:space="0" w:color="auto"/>
        <w:right w:val="none" w:sz="0" w:space="0" w:color="auto"/>
      </w:divBdr>
      <w:divsChild>
        <w:div w:id="1658918964">
          <w:marLeft w:val="0"/>
          <w:marRight w:val="0"/>
          <w:marTop w:val="0"/>
          <w:marBottom w:val="480"/>
          <w:divBdr>
            <w:top w:val="none" w:sz="0" w:space="0" w:color="auto"/>
            <w:left w:val="none" w:sz="0" w:space="0" w:color="auto"/>
            <w:bottom w:val="none" w:sz="0" w:space="0" w:color="auto"/>
            <w:right w:val="none" w:sz="0" w:space="0" w:color="auto"/>
          </w:divBdr>
          <w:divsChild>
            <w:div w:id="697773575">
              <w:marLeft w:val="0"/>
              <w:marRight w:val="0"/>
              <w:marTop w:val="100"/>
              <w:marBottom w:val="100"/>
              <w:divBdr>
                <w:top w:val="none" w:sz="0" w:space="0" w:color="auto"/>
                <w:left w:val="none" w:sz="0" w:space="0" w:color="auto"/>
                <w:bottom w:val="none" w:sz="0" w:space="0" w:color="auto"/>
                <w:right w:val="none" w:sz="0" w:space="0" w:color="auto"/>
              </w:divBdr>
            </w:div>
          </w:divsChild>
        </w:div>
        <w:div w:id="1933008046">
          <w:marLeft w:val="0"/>
          <w:marRight w:val="0"/>
          <w:marTop w:val="0"/>
          <w:marBottom w:val="480"/>
          <w:divBdr>
            <w:top w:val="none" w:sz="0" w:space="0" w:color="auto"/>
            <w:left w:val="none" w:sz="0" w:space="0" w:color="auto"/>
            <w:bottom w:val="none" w:sz="0" w:space="0" w:color="auto"/>
            <w:right w:val="none" w:sz="0" w:space="0" w:color="auto"/>
          </w:divBdr>
          <w:divsChild>
            <w:div w:id="2005009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027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163576">
      <w:bodyDiv w:val="1"/>
      <w:marLeft w:val="0"/>
      <w:marRight w:val="0"/>
      <w:marTop w:val="0"/>
      <w:marBottom w:val="0"/>
      <w:divBdr>
        <w:top w:val="none" w:sz="0" w:space="0" w:color="auto"/>
        <w:left w:val="none" w:sz="0" w:space="0" w:color="auto"/>
        <w:bottom w:val="none" w:sz="0" w:space="0" w:color="auto"/>
        <w:right w:val="none" w:sz="0" w:space="0" w:color="auto"/>
      </w:divBdr>
    </w:div>
    <w:div w:id="545145544">
      <w:bodyDiv w:val="1"/>
      <w:marLeft w:val="0"/>
      <w:marRight w:val="0"/>
      <w:marTop w:val="0"/>
      <w:marBottom w:val="0"/>
      <w:divBdr>
        <w:top w:val="none" w:sz="0" w:space="0" w:color="auto"/>
        <w:left w:val="none" w:sz="0" w:space="0" w:color="auto"/>
        <w:bottom w:val="none" w:sz="0" w:space="0" w:color="auto"/>
        <w:right w:val="none" w:sz="0" w:space="0" w:color="auto"/>
      </w:divBdr>
    </w:div>
    <w:div w:id="618682402">
      <w:bodyDiv w:val="1"/>
      <w:marLeft w:val="0"/>
      <w:marRight w:val="0"/>
      <w:marTop w:val="0"/>
      <w:marBottom w:val="0"/>
      <w:divBdr>
        <w:top w:val="none" w:sz="0" w:space="0" w:color="auto"/>
        <w:left w:val="none" w:sz="0" w:space="0" w:color="auto"/>
        <w:bottom w:val="none" w:sz="0" w:space="0" w:color="auto"/>
        <w:right w:val="none" w:sz="0" w:space="0" w:color="auto"/>
      </w:divBdr>
      <w:divsChild>
        <w:div w:id="1633830879">
          <w:blockQuote w:val="1"/>
          <w:marLeft w:val="720"/>
          <w:marRight w:val="720"/>
          <w:marTop w:val="100"/>
          <w:marBottom w:val="100"/>
          <w:divBdr>
            <w:top w:val="none" w:sz="0" w:space="0" w:color="auto"/>
            <w:left w:val="none" w:sz="0" w:space="0" w:color="auto"/>
            <w:bottom w:val="none" w:sz="0" w:space="0" w:color="auto"/>
            <w:right w:val="none" w:sz="0" w:space="0" w:color="auto"/>
          </w:divBdr>
        </w:div>
        <w:div w:id="474372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9243750">
      <w:bodyDiv w:val="1"/>
      <w:marLeft w:val="0"/>
      <w:marRight w:val="0"/>
      <w:marTop w:val="0"/>
      <w:marBottom w:val="0"/>
      <w:divBdr>
        <w:top w:val="none" w:sz="0" w:space="0" w:color="auto"/>
        <w:left w:val="none" w:sz="0" w:space="0" w:color="auto"/>
        <w:bottom w:val="none" w:sz="0" w:space="0" w:color="auto"/>
        <w:right w:val="none" w:sz="0" w:space="0" w:color="auto"/>
      </w:divBdr>
    </w:div>
    <w:div w:id="688608612">
      <w:bodyDiv w:val="1"/>
      <w:marLeft w:val="0"/>
      <w:marRight w:val="0"/>
      <w:marTop w:val="0"/>
      <w:marBottom w:val="0"/>
      <w:divBdr>
        <w:top w:val="none" w:sz="0" w:space="0" w:color="auto"/>
        <w:left w:val="none" w:sz="0" w:space="0" w:color="auto"/>
        <w:bottom w:val="none" w:sz="0" w:space="0" w:color="auto"/>
        <w:right w:val="none" w:sz="0" w:space="0" w:color="auto"/>
      </w:divBdr>
      <w:divsChild>
        <w:div w:id="2046326159">
          <w:marLeft w:val="0"/>
          <w:marRight w:val="0"/>
          <w:marTop w:val="0"/>
          <w:marBottom w:val="480"/>
          <w:divBdr>
            <w:top w:val="none" w:sz="0" w:space="0" w:color="auto"/>
            <w:left w:val="none" w:sz="0" w:space="0" w:color="auto"/>
            <w:bottom w:val="none" w:sz="0" w:space="0" w:color="auto"/>
            <w:right w:val="none" w:sz="0" w:space="0" w:color="auto"/>
          </w:divBdr>
          <w:divsChild>
            <w:div w:id="1339042535">
              <w:marLeft w:val="0"/>
              <w:marRight w:val="0"/>
              <w:marTop w:val="100"/>
              <w:marBottom w:val="100"/>
              <w:divBdr>
                <w:top w:val="none" w:sz="0" w:space="0" w:color="auto"/>
                <w:left w:val="none" w:sz="0" w:space="0" w:color="auto"/>
                <w:bottom w:val="none" w:sz="0" w:space="0" w:color="auto"/>
                <w:right w:val="none" w:sz="0" w:space="0" w:color="auto"/>
              </w:divBdr>
            </w:div>
          </w:divsChild>
        </w:div>
        <w:div w:id="877668703">
          <w:marLeft w:val="0"/>
          <w:marRight w:val="0"/>
          <w:marTop w:val="0"/>
          <w:marBottom w:val="480"/>
          <w:divBdr>
            <w:top w:val="none" w:sz="0" w:space="0" w:color="auto"/>
            <w:left w:val="none" w:sz="0" w:space="0" w:color="auto"/>
            <w:bottom w:val="none" w:sz="0" w:space="0" w:color="auto"/>
            <w:right w:val="none" w:sz="0" w:space="0" w:color="auto"/>
          </w:divBdr>
          <w:divsChild>
            <w:div w:id="1981107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0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565851">
      <w:bodyDiv w:val="1"/>
      <w:marLeft w:val="0"/>
      <w:marRight w:val="0"/>
      <w:marTop w:val="0"/>
      <w:marBottom w:val="0"/>
      <w:divBdr>
        <w:top w:val="none" w:sz="0" w:space="0" w:color="auto"/>
        <w:left w:val="none" w:sz="0" w:space="0" w:color="auto"/>
        <w:bottom w:val="none" w:sz="0" w:space="0" w:color="auto"/>
        <w:right w:val="none" w:sz="0" w:space="0" w:color="auto"/>
      </w:divBdr>
    </w:div>
    <w:div w:id="763723494">
      <w:bodyDiv w:val="1"/>
      <w:marLeft w:val="0"/>
      <w:marRight w:val="0"/>
      <w:marTop w:val="0"/>
      <w:marBottom w:val="0"/>
      <w:divBdr>
        <w:top w:val="none" w:sz="0" w:space="0" w:color="auto"/>
        <w:left w:val="none" w:sz="0" w:space="0" w:color="auto"/>
        <w:bottom w:val="none" w:sz="0" w:space="0" w:color="auto"/>
        <w:right w:val="none" w:sz="0" w:space="0" w:color="auto"/>
      </w:divBdr>
    </w:div>
    <w:div w:id="818301455">
      <w:bodyDiv w:val="1"/>
      <w:marLeft w:val="0"/>
      <w:marRight w:val="0"/>
      <w:marTop w:val="0"/>
      <w:marBottom w:val="0"/>
      <w:divBdr>
        <w:top w:val="none" w:sz="0" w:space="0" w:color="auto"/>
        <w:left w:val="none" w:sz="0" w:space="0" w:color="auto"/>
        <w:bottom w:val="none" w:sz="0" w:space="0" w:color="auto"/>
        <w:right w:val="none" w:sz="0" w:space="0" w:color="auto"/>
      </w:divBdr>
    </w:div>
    <w:div w:id="820391298">
      <w:bodyDiv w:val="1"/>
      <w:marLeft w:val="0"/>
      <w:marRight w:val="0"/>
      <w:marTop w:val="0"/>
      <w:marBottom w:val="0"/>
      <w:divBdr>
        <w:top w:val="none" w:sz="0" w:space="0" w:color="auto"/>
        <w:left w:val="none" w:sz="0" w:space="0" w:color="auto"/>
        <w:bottom w:val="none" w:sz="0" w:space="0" w:color="auto"/>
        <w:right w:val="none" w:sz="0" w:space="0" w:color="auto"/>
      </w:divBdr>
    </w:div>
    <w:div w:id="950278315">
      <w:bodyDiv w:val="1"/>
      <w:marLeft w:val="0"/>
      <w:marRight w:val="0"/>
      <w:marTop w:val="0"/>
      <w:marBottom w:val="0"/>
      <w:divBdr>
        <w:top w:val="none" w:sz="0" w:space="0" w:color="auto"/>
        <w:left w:val="none" w:sz="0" w:space="0" w:color="auto"/>
        <w:bottom w:val="none" w:sz="0" w:space="0" w:color="auto"/>
        <w:right w:val="none" w:sz="0" w:space="0" w:color="auto"/>
      </w:divBdr>
    </w:div>
    <w:div w:id="971399481">
      <w:bodyDiv w:val="1"/>
      <w:marLeft w:val="0"/>
      <w:marRight w:val="0"/>
      <w:marTop w:val="0"/>
      <w:marBottom w:val="0"/>
      <w:divBdr>
        <w:top w:val="none" w:sz="0" w:space="0" w:color="auto"/>
        <w:left w:val="none" w:sz="0" w:space="0" w:color="auto"/>
        <w:bottom w:val="none" w:sz="0" w:space="0" w:color="auto"/>
        <w:right w:val="none" w:sz="0" w:space="0" w:color="auto"/>
      </w:divBdr>
    </w:div>
    <w:div w:id="1009060723">
      <w:bodyDiv w:val="1"/>
      <w:marLeft w:val="0"/>
      <w:marRight w:val="0"/>
      <w:marTop w:val="0"/>
      <w:marBottom w:val="0"/>
      <w:divBdr>
        <w:top w:val="none" w:sz="0" w:space="0" w:color="auto"/>
        <w:left w:val="none" w:sz="0" w:space="0" w:color="auto"/>
        <w:bottom w:val="none" w:sz="0" w:space="0" w:color="auto"/>
        <w:right w:val="none" w:sz="0" w:space="0" w:color="auto"/>
      </w:divBdr>
    </w:div>
    <w:div w:id="1148472920">
      <w:bodyDiv w:val="1"/>
      <w:marLeft w:val="0"/>
      <w:marRight w:val="0"/>
      <w:marTop w:val="0"/>
      <w:marBottom w:val="0"/>
      <w:divBdr>
        <w:top w:val="none" w:sz="0" w:space="0" w:color="auto"/>
        <w:left w:val="none" w:sz="0" w:space="0" w:color="auto"/>
        <w:bottom w:val="none" w:sz="0" w:space="0" w:color="auto"/>
        <w:right w:val="none" w:sz="0" w:space="0" w:color="auto"/>
      </w:divBdr>
    </w:div>
    <w:div w:id="1160343294">
      <w:bodyDiv w:val="1"/>
      <w:marLeft w:val="0"/>
      <w:marRight w:val="0"/>
      <w:marTop w:val="0"/>
      <w:marBottom w:val="0"/>
      <w:divBdr>
        <w:top w:val="none" w:sz="0" w:space="0" w:color="auto"/>
        <w:left w:val="none" w:sz="0" w:space="0" w:color="auto"/>
        <w:bottom w:val="none" w:sz="0" w:space="0" w:color="auto"/>
        <w:right w:val="none" w:sz="0" w:space="0" w:color="auto"/>
      </w:divBdr>
    </w:div>
    <w:div w:id="1245459543">
      <w:bodyDiv w:val="1"/>
      <w:marLeft w:val="0"/>
      <w:marRight w:val="0"/>
      <w:marTop w:val="0"/>
      <w:marBottom w:val="0"/>
      <w:divBdr>
        <w:top w:val="none" w:sz="0" w:space="0" w:color="auto"/>
        <w:left w:val="none" w:sz="0" w:space="0" w:color="auto"/>
        <w:bottom w:val="none" w:sz="0" w:space="0" w:color="auto"/>
        <w:right w:val="none" w:sz="0" w:space="0" w:color="auto"/>
      </w:divBdr>
      <w:divsChild>
        <w:div w:id="504177432">
          <w:marLeft w:val="0"/>
          <w:marRight w:val="0"/>
          <w:marTop w:val="0"/>
          <w:marBottom w:val="0"/>
          <w:divBdr>
            <w:top w:val="none" w:sz="0" w:space="0" w:color="auto"/>
            <w:left w:val="none" w:sz="0" w:space="0" w:color="auto"/>
            <w:bottom w:val="none" w:sz="0" w:space="0" w:color="auto"/>
            <w:right w:val="none" w:sz="0" w:space="0" w:color="auto"/>
          </w:divBdr>
          <w:divsChild>
            <w:div w:id="1973512583">
              <w:marLeft w:val="0"/>
              <w:marRight w:val="0"/>
              <w:marTop w:val="0"/>
              <w:marBottom w:val="0"/>
              <w:divBdr>
                <w:top w:val="none" w:sz="0" w:space="0" w:color="auto"/>
                <w:left w:val="none" w:sz="0" w:space="0" w:color="auto"/>
                <w:bottom w:val="none" w:sz="0" w:space="0" w:color="auto"/>
                <w:right w:val="none" w:sz="0" w:space="0" w:color="auto"/>
              </w:divBdr>
              <w:divsChild>
                <w:div w:id="209996324">
                  <w:marLeft w:val="0"/>
                  <w:marRight w:val="0"/>
                  <w:marTop w:val="0"/>
                  <w:marBottom w:val="0"/>
                  <w:divBdr>
                    <w:top w:val="none" w:sz="0" w:space="0" w:color="auto"/>
                    <w:left w:val="none" w:sz="0" w:space="0" w:color="auto"/>
                    <w:bottom w:val="none" w:sz="0" w:space="0" w:color="auto"/>
                    <w:right w:val="none" w:sz="0" w:space="0" w:color="auto"/>
                  </w:divBdr>
                  <w:divsChild>
                    <w:div w:id="137364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439689">
              <w:marLeft w:val="0"/>
              <w:marRight w:val="0"/>
              <w:marTop w:val="0"/>
              <w:marBottom w:val="0"/>
              <w:divBdr>
                <w:top w:val="none" w:sz="0" w:space="0" w:color="auto"/>
                <w:left w:val="none" w:sz="0" w:space="0" w:color="auto"/>
                <w:bottom w:val="none" w:sz="0" w:space="0" w:color="auto"/>
                <w:right w:val="none" w:sz="0" w:space="0" w:color="auto"/>
              </w:divBdr>
              <w:divsChild>
                <w:div w:id="2056420486">
                  <w:marLeft w:val="0"/>
                  <w:marRight w:val="0"/>
                  <w:marTop w:val="0"/>
                  <w:marBottom w:val="0"/>
                  <w:divBdr>
                    <w:top w:val="none" w:sz="0" w:space="0" w:color="auto"/>
                    <w:left w:val="none" w:sz="0" w:space="0" w:color="auto"/>
                    <w:bottom w:val="single" w:sz="24" w:space="0" w:color="E4E4E4"/>
                    <w:right w:val="none" w:sz="0" w:space="0" w:color="auto"/>
                  </w:divBdr>
                </w:div>
              </w:divsChild>
            </w:div>
          </w:divsChild>
        </w:div>
        <w:div w:id="1615401856">
          <w:marLeft w:val="0"/>
          <w:marRight w:val="0"/>
          <w:marTop w:val="0"/>
          <w:marBottom w:val="0"/>
          <w:divBdr>
            <w:top w:val="none" w:sz="0" w:space="0" w:color="auto"/>
            <w:left w:val="none" w:sz="0" w:space="0" w:color="auto"/>
            <w:bottom w:val="none" w:sz="0" w:space="0" w:color="auto"/>
            <w:right w:val="none" w:sz="0" w:space="0" w:color="auto"/>
          </w:divBdr>
          <w:divsChild>
            <w:div w:id="192961662">
              <w:marLeft w:val="0"/>
              <w:marRight w:val="0"/>
              <w:marTop w:val="0"/>
              <w:marBottom w:val="0"/>
              <w:divBdr>
                <w:top w:val="none" w:sz="0" w:space="0" w:color="auto"/>
                <w:left w:val="none" w:sz="0" w:space="0" w:color="auto"/>
                <w:bottom w:val="none" w:sz="0" w:space="0" w:color="auto"/>
                <w:right w:val="none" w:sz="0" w:space="0" w:color="auto"/>
              </w:divBdr>
              <w:divsChild>
                <w:div w:id="15191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465313">
          <w:marLeft w:val="0"/>
          <w:marRight w:val="0"/>
          <w:marTop w:val="0"/>
          <w:marBottom w:val="0"/>
          <w:divBdr>
            <w:top w:val="none" w:sz="0" w:space="0" w:color="auto"/>
            <w:left w:val="none" w:sz="0" w:space="0" w:color="auto"/>
            <w:bottom w:val="none" w:sz="0" w:space="0" w:color="auto"/>
            <w:right w:val="none" w:sz="0" w:space="0" w:color="auto"/>
          </w:divBdr>
          <w:divsChild>
            <w:div w:id="1009329623">
              <w:marLeft w:val="1600"/>
              <w:marRight w:val="0"/>
              <w:marTop w:val="0"/>
              <w:marBottom w:val="0"/>
              <w:divBdr>
                <w:top w:val="none" w:sz="0" w:space="0" w:color="auto"/>
                <w:left w:val="none" w:sz="0" w:space="0" w:color="auto"/>
                <w:bottom w:val="none" w:sz="0" w:space="0" w:color="auto"/>
                <w:right w:val="none" w:sz="0" w:space="0" w:color="auto"/>
              </w:divBdr>
              <w:divsChild>
                <w:div w:id="1822237643">
                  <w:marLeft w:val="0"/>
                  <w:marRight w:val="0"/>
                  <w:marTop w:val="0"/>
                  <w:marBottom w:val="0"/>
                  <w:divBdr>
                    <w:top w:val="none" w:sz="0" w:space="0" w:color="auto"/>
                    <w:left w:val="none" w:sz="0" w:space="0" w:color="auto"/>
                    <w:bottom w:val="none" w:sz="0" w:space="0" w:color="auto"/>
                    <w:right w:val="none" w:sz="0" w:space="0" w:color="auto"/>
                  </w:divBdr>
                  <w:divsChild>
                    <w:div w:id="2048093681">
                      <w:marLeft w:val="0"/>
                      <w:marRight w:val="0"/>
                      <w:marTop w:val="0"/>
                      <w:marBottom w:val="0"/>
                      <w:divBdr>
                        <w:top w:val="none" w:sz="0" w:space="0" w:color="auto"/>
                        <w:left w:val="none" w:sz="0" w:space="0" w:color="auto"/>
                        <w:bottom w:val="none" w:sz="0" w:space="0" w:color="auto"/>
                        <w:right w:val="none" w:sz="0" w:space="0" w:color="auto"/>
                      </w:divBdr>
                      <w:divsChild>
                        <w:div w:id="632489102">
                          <w:marLeft w:val="0"/>
                          <w:marRight w:val="0"/>
                          <w:marTop w:val="0"/>
                          <w:marBottom w:val="0"/>
                          <w:divBdr>
                            <w:top w:val="none" w:sz="0" w:space="0" w:color="auto"/>
                            <w:left w:val="none" w:sz="0" w:space="0" w:color="auto"/>
                            <w:bottom w:val="none" w:sz="0" w:space="0" w:color="auto"/>
                            <w:right w:val="none" w:sz="0" w:space="0" w:color="auto"/>
                          </w:divBdr>
                        </w:div>
                        <w:div w:id="550774163">
                          <w:marLeft w:val="0"/>
                          <w:marRight w:val="0"/>
                          <w:marTop w:val="0"/>
                          <w:marBottom w:val="0"/>
                          <w:divBdr>
                            <w:top w:val="none" w:sz="0" w:space="0" w:color="auto"/>
                            <w:left w:val="none" w:sz="0" w:space="0" w:color="auto"/>
                            <w:bottom w:val="none" w:sz="0" w:space="0" w:color="auto"/>
                            <w:right w:val="none" w:sz="0" w:space="0" w:color="auto"/>
                          </w:divBdr>
                          <w:divsChild>
                            <w:div w:id="104595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4236">
                      <w:marLeft w:val="0"/>
                      <w:marRight w:val="0"/>
                      <w:marTop w:val="0"/>
                      <w:marBottom w:val="0"/>
                      <w:divBdr>
                        <w:top w:val="none" w:sz="0" w:space="0" w:color="auto"/>
                        <w:left w:val="none" w:sz="0" w:space="0" w:color="auto"/>
                        <w:bottom w:val="none" w:sz="0" w:space="0" w:color="auto"/>
                        <w:right w:val="none" w:sz="0" w:space="0" w:color="auto"/>
                      </w:divBdr>
                      <w:divsChild>
                        <w:div w:id="2099523771">
                          <w:marLeft w:val="0"/>
                          <w:marRight w:val="0"/>
                          <w:marTop w:val="0"/>
                          <w:marBottom w:val="0"/>
                          <w:divBdr>
                            <w:top w:val="none" w:sz="0" w:space="0" w:color="auto"/>
                            <w:left w:val="none" w:sz="0" w:space="0" w:color="auto"/>
                            <w:bottom w:val="none" w:sz="0" w:space="0" w:color="auto"/>
                            <w:right w:val="none" w:sz="0" w:space="0" w:color="auto"/>
                          </w:divBdr>
                        </w:div>
                        <w:div w:id="180134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731093">
          <w:marLeft w:val="0"/>
          <w:marRight w:val="0"/>
          <w:marTop w:val="0"/>
          <w:marBottom w:val="0"/>
          <w:divBdr>
            <w:top w:val="none" w:sz="0" w:space="0" w:color="auto"/>
            <w:left w:val="none" w:sz="0" w:space="0" w:color="auto"/>
            <w:bottom w:val="none" w:sz="0" w:space="0" w:color="auto"/>
            <w:right w:val="none" w:sz="0" w:space="0" w:color="auto"/>
          </w:divBdr>
          <w:divsChild>
            <w:div w:id="1513837810">
              <w:marLeft w:val="1600"/>
              <w:marRight w:val="0"/>
              <w:marTop w:val="0"/>
              <w:marBottom w:val="0"/>
              <w:divBdr>
                <w:top w:val="none" w:sz="0" w:space="0" w:color="auto"/>
                <w:left w:val="none" w:sz="0" w:space="0" w:color="auto"/>
                <w:bottom w:val="none" w:sz="0" w:space="0" w:color="auto"/>
                <w:right w:val="none" w:sz="0" w:space="0" w:color="auto"/>
              </w:divBdr>
              <w:divsChild>
                <w:div w:id="372387028">
                  <w:marLeft w:val="0"/>
                  <w:marRight w:val="0"/>
                  <w:marTop w:val="0"/>
                  <w:marBottom w:val="0"/>
                  <w:divBdr>
                    <w:top w:val="none" w:sz="0" w:space="0" w:color="auto"/>
                    <w:left w:val="none" w:sz="0" w:space="0" w:color="auto"/>
                    <w:bottom w:val="none" w:sz="0" w:space="0" w:color="auto"/>
                    <w:right w:val="none" w:sz="0" w:space="0" w:color="auto"/>
                  </w:divBdr>
                  <w:divsChild>
                    <w:div w:id="952446243">
                      <w:marLeft w:val="0"/>
                      <w:marRight w:val="0"/>
                      <w:marTop w:val="0"/>
                      <w:marBottom w:val="0"/>
                      <w:divBdr>
                        <w:top w:val="none" w:sz="0" w:space="0" w:color="auto"/>
                        <w:left w:val="none" w:sz="0" w:space="0" w:color="auto"/>
                        <w:bottom w:val="none" w:sz="0" w:space="0" w:color="auto"/>
                        <w:right w:val="none" w:sz="0" w:space="0" w:color="auto"/>
                      </w:divBdr>
                      <w:divsChild>
                        <w:div w:id="1426877434">
                          <w:marLeft w:val="0"/>
                          <w:marRight w:val="0"/>
                          <w:marTop w:val="0"/>
                          <w:marBottom w:val="0"/>
                          <w:divBdr>
                            <w:top w:val="none" w:sz="0" w:space="0" w:color="auto"/>
                            <w:left w:val="none" w:sz="0" w:space="0" w:color="auto"/>
                            <w:bottom w:val="none" w:sz="0" w:space="0" w:color="auto"/>
                            <w:right w:val="none" w:sz="0" w:space="0" w:color="auto"/>
                          </w:divBdr>
                        </w:div>
                        <w:div w:id="1888687771">
                          <w:marLeft w:val="0"/>
                          <w:marRight w:val="0"/>
                          <w:marTop w:val="0"/>
                          <w:marBottom w:val="0"/>
                          <w:divBdr>
                            <w:top w:val="none" w:sz="0" w:space="0" w:color="auto"/>
                            <w:left w:val="none" w:sz="0" w:space="0" w:color="auto"/>
                            <w:bottom w:val="none" w:sz="0" w:space="0" w:color="auto"/>
                            <w:right w:val="none" w:sz="0" w:space="0" w:color="auto"/>
                          </w:divBdr>
                          <w:divsChild>
                            <w:div w:id="15068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5710">
                      <w:marLeft w:val="0"/>
                      <w:marRight w:val="0"/>
                      <w:marTop w:val="0"/>
                      <w:marBottom w:val="0"/>
                      <w:divBdr>
                        <w:top w:val="none" w:sz="0" w:space="0" w:color="auto"/>
                        <w:left w:val="none" w:sz="0" w:space="0" w:color="auto"/>
                        <w:bottom w:val="none" w:sz="0" w:space="0" w:color="auto"/>
                        <w:right w:val="none" w:sz="0" w:space="0" w:color="auto"/>
                      </w:divBdr>
                      <w:divsChild>
                        <w:div w:id="1350720139">
                          <w:marLeft w:val="0"/>
                          <w:marRight w:val="0"/>
                          <w:marTop w:val="0"/>
                          <w:marBottom w:val="0"/>
                          <w:divBdr>
                            <w:top w:val="none" w:sz="0" w:space="0" w:color="auto"/>
                            <w:left w:val="none" w:sz="0" w:space="0" w:color="auto"/>
                            <w:bottom w:val="none" w:sz="0" w:space="0" w:color="auto"/>
                            <w:right w:val="none" w:sz="0" w:space="0" w:color="auto"/>
                          </w:divBdr>
                        </w:div>
                        <w:div w:id="88902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596461">
      <w:bodyDiv w:val="1"/>
      <w:marLeft w:val="0"/>
      <w:marRight w:val="0"/>
      <w:marTop w:val="0"/>
      <w:marBottom w:val="0"/>
      <w:divBdr>
        <w:top w:val="none" w:sz="0" w:space="0" w:color="auto"/>
        <w:left w:val="none" w:sz="0" w:space="0" w:color="auto"/>
        <w:bottom w:val="none" w:sz="0" w:space="0" w:color="auto"/>
        <w:right w:val="none" w:sz="0" w:space="0" w:color="auto"/>
      </w:divBdr>
    </w:div>
    <w:div w:id="1405252156">
      <w:bodyDiv w:val="1"/>
      <w:marLeft w:val="0"/>
      <w:marRight w:val="0"/>
      <w:marTop w:val="0"/>
      <w:marBottom w:val="0"/>
      <w:divBdr>
        <w:top w:val="none" w:sz="0" w:space="0" w:color="auto"/>
        <w:left w:val="none" w:sz="0" w:space="0" w:color="auto"/>
        <w:bottom w:val="none" w:sz="0" w:space="0" w:color="auto"/>
        <w:right w:val="none" w:sz="0" w:space="0" w:color="auto"/>
      </w:divBdr>
    </w:div>
    <w:div w:id="1597976329">
      <w:bodyDiv w:val="1"/>
      <w:marLeft w:val="0"/>
      <w:marRight w:val="0"/>
      <w:marTop w:val="0"/>
      <w:marBottom w:val="0"/>
      <w:divBdr>
        <w:top w:val="none" w:sz="0" w:space="0" w:color="auto"/>
        <w:left w:val="none" w:sz="0" w:space="0" w:color="auto"/>
        <w:bottom w:val="none" w:sz="0" w:space="0" w:color="auto"/>
        <w:right w:val="none" w:sz="0" w:space="0" w:color="auto"/>
      </w:divBdr>
    </w:div>
    <w:div w:id="1624728195">
      <w:bodyDiv w:val="1"/>
      <w:marLeft w:val="0"/>
      <w:marRight w:val="0"/>
      <w:marTop w:val="0"/>
      <w:marBottom w:val="0"/>
      <w:divBdr>
        <w:top w:val="none" w:sz="0" w:space="0" w:color="auto"/>
        <w:left w:val="none" w:sz="0" w:space="0" w:color="auto"/>
        <w:bottom w:val="none" w:sz="0" w:space="0" w:color="auto"/>
        <w:right w:val="none" w:sz="0" w:space="0" w:color="auto"/>
      </w:divBdr>
    </w:div>
    <w:div w:id="1759055973">
      <w:bodyDiv w:val="1"/>
      <w:marLeft w:val="0"/>
      <w:marRight w:val="0"/>
      <w:marTop w:val="0"/>
      <w:marBottom w:val="0"/>
      <w:divBdr>
        <w:top w:val="none" w:sz="0" w:space="0" w:color="auto"/>
        <w:left w:val="none" w:sz="0" w:space="0" w:color="auto"/>
        <w:bottom w:val="none" w:sz="0" w:space="0" w:color="auto"/>
        <w:right w:val="none" w:sz="0" w:space="0" w:color="auto"/>
      </w:divBdr>
    </w:div>
    <w:div w:id="194360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rf.ch/news/international/nahost/die-lage-im-ueberblick-krieg-im-nahen-osten-das-passiert-aktuell-22"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ilsa.org/Jessup/Jessup15/Montevideo%20Convention.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rf.ch/play/tv/10-vor-10/video/10-vor-10-vom-26-06-2025?urn=urn:srf:video:815144c3-4481-481f-86ce-286f7449d0fc"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Franz/Downloads/voelkerrechtliche-anerkennung-staaten-regierungen_DE.pdf"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srf.ch/play/tv/10-vor-10/video/10-vor-10-vom-29-07-2025?urn=urn:srf:video:824875d3-26ab-4b80-905a-82da6db9c831" TargetMode="External"/><Relationship Id="rId23" Type="http://schemas.openxmlformats.org/officeDocument/2006/relationships/fontTable" Target="fontTable.xml"/><Relationship Id="rId10" Type="http://schemas.openxmlformats.org/officeDocument/2006/relationships/hyperlink" Target="mailto:leitung@ombudsstellesrgd.ch"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rf.ch/news/international/lebensmittel-im-nahen-osten-israels-armee-zerstoert-palaestinensische-saatgutbank" TargetMode="External"/><Relationship Id="rId22"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13C71392D72354197D794ECDCAFADEB" ma:contentTypeVersion="7" ma:contentTypeDescription="Ein neues Dokument erstellen." ma:contentTypeScope="" ma:versionID="74d46536513c416e702d029814e54d13">
  <xsd:schema xmlns:xsd="http://www.w3.org/2001/XMLSchema" xmlns:xs="http://www.w3.org/2001/XMLSchema" xmlns:p="http://schemas.microsoft.com/office/2006/metadata/properties" xmlns:ns2="322d9ff8-f49a-4c68-80b7-744bc3d30e8b" xmlns:ns3="96f59662-7fb4-4a9c-b148-27e76f8a4ac5" targetNamespace="http://schemas.microsoft.com/office/2006/metadata/properties" ma:root="true" ma:fieldsID="dc8c1f15193e9812f50309e50462ca1e" ns2:_="" ns3:_="">
    <xsd:import namespace="322d9ff8-f49a-4c68-80b7-744bc3d30e8b"/>
    <xsd:import namespace="96f59662-7fb4-4a9c-b148-27e76f8a4a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d9ff8-f49a-4c68-80b7-744bc3d30e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59662-7fb4-4a9c-b148-27e76f8a4ac5"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E12856-B596-4397-977B-78E297115804}">
  <ds:schemaRefs>
    <ds:schemaRef ds:uri="http://schemas.microsoft.com/sharepoint/v3/contenttype/forms"/>
  </ds:schemaRefs>
</ds:datastoreItem>
</file>

<file path=customXml/itemProps2.xml><?xml version="1.0" encoding="utf-8"?>
<ds:datastoreItem xmlns:ds="http://schemas.openxmlformats.org/officeDocument/2006/customXml" ds:itemID="{5DA4E653-4AC7-4ED9-AF83-EEC6C37BB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d9ff8-f49a-4c68-80b7-744bc3d30e8b"/>
    <ds:schemaRef ds:uri="96f59662-7fb4-4a9c-b148-27e76f8a4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ED8778-BF88-4FDE-B7F6-8232EB2DE5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3179</Words>
  <Characters>20029</Characters>
  <Application>Microsoft Office Word</Application>
  <DocSecurity>0</DocSecurity>
  <Lines>166</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Keller, Annina (SRG.D)</dc:creator>
  <cp:keywords/>
  <dc:description/>
  <cp:lastModifiedBy>Looser, Denise (SRG.D)</cp:lastModifiedBy>
  <cp:revision>3</cp:revision>
  <cp:lastPrinted>2023-11-15T08:27:00Z</cp:lastPrinted>
  <dcterms:created xsi:type="dcterms:W3CDTF">2025-08-26T12:10:00Z</dcterms:created>
  <dcterms:modified xsi:type="dcterms:W3CDTF">2025-08-26T12:11:00Z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0x010100213C71392D72354197D794ECDCAFADEB</vt:lpwstr>
  </property>
</Properties>
</file>